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CD6BAF">
        <w:rPr>
          <w:b/>
          <w:color w:val="000000"/>
          <w:sz w:val="32"/>
          <w:szCs w:val="32"/>
        </w:rPr>
        <w:t>135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D6BAF">
              <w:rPr>
                <w:b/>
              </w:rPr>
              <w:t>135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CD6BAF">
        <w:rPr>
          <w:b/>
        </w:rPr>
        <w:t>35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CD6BAF">
        <w:t>35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1D69E2" w:rsidRDefault="00CB590A" w:rsidP="002F60B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 w:rsidR="00CD6BAF">
        <w:rPr>
          <w:szCs w:val="24"/>
          <w:u w:val="single"/>
        </w:rPr>
        <w:t>1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6A3BA1" w:rsidRPr="006A3BA1" w:rsidRDefault="006A3BA1" w:rsidP="00D0609F">
      <w:pPr>
        <w:ind w:left="-567" w:firstLine="567"/>
        <w:jc w:val="both"/>
      </w:pPr>
      <w:r w:rsidRPr="006A3BA1">
        <w:t>Имущественный комплекс, состоящий из 17 объектов недвижимого имущества, в том</w:t>
      </w:r>
      <w:r w:rsidR="00EC7A3E">
        <w:t xml:space="preserve"> числе 15 зданий и 2 сооружений</w:t>
      </w:r>
      <w:r w:rsidRPr="006A3BA1">
        <w:t xml:space="preserve"> </w:t>
      </w:r>
      <w:r w:rsidR="00EC7A3E">
        <w:t xml:space="preserve">и 5 объектов неотъемлемого оборудования, </w:t>
      </w:r>
      <w:r w:rsidRPr="006A3BA1">
        <w:t>расположенных по адресу: Амурская область, г. Белогорск, ул. 50 Лет Комсомола, д. 66а.</w:t>
      </w:r>
    </w:p>
    <w:p w:rsidR="006A3BA1" w:rsidRPr="006A3BA1" w:rsidRDefault="006A3BA1" w:rsidP="006A3BA1">
      <w:pPr>
        <w:jc w:val="both"/>
      </w:pPr>
    </w:p>
    <w:tbl>
      <w:tblPr>
        <w:tblW w:w="50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83"/>
        <w:gridCol w:w="40"/>
        <w:gridCol w:w="4039"/>
        <w:gridCol w:w="1185"/>
        <w:gridCol w:w="42"/>
        <w:gridCol w:w="3880"/>
        <w:gridCol w:w="35"/>
      </w:tblGrid>
      <w:tr w:rsidR="00D95944" w:rsidTr="00E31F5E">
        <w:trPr>
          <w:gridAfter w:val="1"/>
          <w:wAfter w:w="18" w:type="pct"/>
          <w:trHeight w:val="101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44" w:rsidRDefault="00D95944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44" w:rsidRDefault="00D95944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44" w:rsidRDefault="00D95944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5944" w:rsidRDefault="00D95944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Водонапорная башня, назначение: нежилое, 1- этажный, инв. № 10:000:001:001790740:0203:00000.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28:02:000408:0019:10:000:001:001790740:0203:00000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149469 от 19.07.2007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 № 1, назначение: нежилое, 1- этажный, инв. № 10:000:001:001790740:0102:00000.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28:02:000408:0019:10:000:001:001790740:0102:00000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412,5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149479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 назначение: нежилое, 1- этажный, инв. № 10:000:001:001790740:0103:00000.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28:02:000408:0019:10:000:001:001790740:0103:00000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149480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Компрессорная</w:t>
            </w:r>
            <w:proofErr w:type="gramEnd"/>
            <w:r>
              <w:rPr>
                <w:color w:val="000000"/>
                <w:sz w:val="16"/>
                <w:szCs w:val="16"/>
              </w:rPr>
              <w:t>, назначение: нежилое, 1- этажный, инв. № 10:000:001:001790740:0107:00000.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28:02:000408:0019:10:000:001:001790740:0107:00000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149475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Котельная №2, назначение: нежилое, 1- этажный, инв. № 10:000:001:001790740:0115:00000.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28:02:000408:0019:10:000:001:001790740:0115:00000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149466 от 19.07.2007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Механические мастерские, назначение: нежилое, 1- этажный, инв. № 10:000:001:001790740:0104:00000.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28:02:000408:0019:10:000:001:001790740:0104:00000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149477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Насосная скважина, назначение: нежилое, 1- этажный, инв. № 10:000:001:001790740:0111:00000.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28:02:000408:0019:10:000:001:001790740:0111:00000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149468 от 19.07.2007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Насосная скважина, назначение: нежилое, 1- этажный, инв. № 10:000:001:001790740:0108:00000.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28:02:000408:0019:10:000:001:001790740:0108:00000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149476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Пилорама, назначение: нежилое, 1- этажный, инв. № 10:000:001:001790740:0114:00000.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28:02:000408:0019:10:000:001:001790740:0114:00000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149465 от 19.07.2007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(бывшая котельная), назначение: нежилое, 1- этажный, инв. № 10:000:001:001790740:0112:00000.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28:02:000408:0019:10:000:001:001790740:0112:00000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149470 от 19.07.2007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1- этажный, инв. № 10:000:001:001790740:0105:00000.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28:02:000408:0019:10:000:001:001790740:0105:00000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149478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нежилое, 1- этажный, инв. № 10:000:001:001790740:0400:00000.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28:02:000408:0019:10:000:001:001790740:0400:00000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149472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Деревоотделочный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цех, пилорама, назначение: нежилое, 1- этажный, инв. № </w:t>
            </w:r>
            <w:r>
              <w:rPr>
                <w:color w:val="000000"/>
                <w:sz w:val="16"/>
                <w:szCs w:val="16"/>
              </w:rPr>
              <w:lastRenderedPageBreak/>
              <w:t>10:000:001:001790740:0113:00000.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28:02:000408:0019:10:000:001:001790740:0113:00000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257,5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149464 от 19.07.2007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>
              <w:rPr>
                <w:color w:val="000000"/>
                <w:sz w:val="16"/>
                <w:szCs w:val="16"/>
              </w:rPr>
              <w:t>метеллозаготовок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нежилое, 1- этажный, инв. № 10:000:001:001790740:0106:00000.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28:02:000408:0019:10:000:001:001790740:0106:00000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149474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Цех по изготовление ж/бетонных изделий, нежилое, 3- этажный, инв. № 10:000:001:001790740:0109:00000.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28:02:000408:0019:10:000:001:001790740:0109:00000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149473 от 20.07.2007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Сети электролиний </w:t>
            </w:r>
            <w:proofErr w:type="gramStart"/>
            <w:r>
              <w:rPr>
                <w:color w:val="000000"/>
                <w:sz w:val="16"/>
                <w:szCs w:val="16"/>
              </w:rPr>
              <w:t>ВЛ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- - 0,4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сооружения энергетики и электропередачи, инв. № 10:000:001:001790740:0601:00000.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28:02:000408:0019:10:000:001:001790740:0601:00000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1,0084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149467 от 19.07.2007</w:t>
            </w:r>
          </w:p>
        </w:tc>
      </w:tr>
      <w:tr w:rsidR="00D95944" w:rsidTr="00E31F5E">
        <w:trPr>
          <w:gridAfter w:val="1"/>
          <w:wAfter w:w="18" w:type="pct"/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Pr="00CB6749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Цементные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силоса, назначение: нежилое, инв. № 10:000:001:001790740:0202:00000.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28:02:000408:0019:10:000:001:001790740:0202:00000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149471 от 19.07.2007</w:t>
            </w:r>
          </w:p>
        </w:tc>
      </w:tr>
      <w:tr w:rsidR="00E31F5E" w:rsidRPr="00FB710C" w:rsidTr="00E31F5E">
        <w:trPr>
          <w:trHeight w:val="23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1F5E" w:rsidRDefault="00E31F5E" w:rsidP="00A749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Неотъемлемое оборудование</w:t>
            </w:r>
          </w:p>
        </w:tc>
      </w:tr>
      <w:tr w:rsidR="00D95944" w:rsidRPr="00FB710C" w:rsidTr="00E31F5E">
        <w:trPr>
          <w:trHeight w:val="525"/>
        </w:trPr>
        <w:tc>
          <w:tcPr>
            <w:tcW w:w="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FB710C" w:rsidRDefault="00D95944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16FE6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C1BDF">
              <w:rPr>
                <w:b/>
                <w:bCs/>
                <w:sz w:val="18"/>
                <w:szCs w:val="18"/>
              </w:rPr>
              <w:t>Наименование ОС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</w:tr>
      <w:tr w:rsidR="00D95944" w:rsidRPr="00FB710C" w:rsidTr="00E31F5E">
        <w:trPr>
          <w:trHeight w:val="94"/>
        </w:trPr>
        <w:tc>
          <w:tcPr>
            <w:tcW w:w="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944" w:rsidRPr="005D31E1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944" w:rsidRPr="005D31E1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ВОЗДУХОСБОРНИК В-8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944" w:rsidRPr="00FB710C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267434">
              <w:rPr>
                <w:color w:val="000000"/>
                <w:sz w:val="16"/>
                <w:szCs w:val="16"/>
              </w:rPr>
              <w:t>П03.042184</w:t>
            </w:r>
          </w:p>
        </w:tc>
      </w:tr>
      <w:tr w:rsidR="00D95944" w:rsidRPr="00FB710C" w:rsidTr="00E31F5E">
        <w:trPr>
          <w:trHeight w:val="20"/>
        </w:trPr>
        <w:tc>
          <w:tcPr>
            <w:tcW w:w="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D31E1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D31E1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КРАН КОЗЛОВОЙ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FB710C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267434">
              <w:rPr>
                <w:color w:val="000000"/>
                <w:sz w:val="16"/>
                <w:szCs w:val="16"/>
              </w:rPr>
              <w:t>П03.100021</w:t>
            </w:r>
          </w:p>
        </w:tc>
      </w:tr>
      <w:tr w:rsidR="00D95944" w:rsidRPr="00FB710C" w:rsidTr="00E31F5E">
        <w:trPr>
          <w:trHeight w:val="20"/>
        </w:trPr>
        <w:tc>
          <w:tcPr>
            <w:tcW w:w="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D31E1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D31E1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КРАН МОСТОВОЙ 10т регистр.№746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FB710C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267434">
              <w:rPr>
                <w:color w:val="000000"/>
                <w:sz w:val="16"/>
                <w:szCs w:val="16"/>
              </w:rPr>
              <w:t>П03.100008</w:t>
            </w:r>
          </w:p>
        </w:tc>
      </w:tr>
      <w:tr w:rsidR="00D95944" w:rsidRPr="00FB710C" w:rsidTr="00E31F5E">
        <w:trPr>
          <w:trHeight w:val="20"/>
        </w:trPr>
        <w:tc>
          <w:tcPr>
            <w:tcW w:w="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D31E1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D31E1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Комплексная трансформаторная подстанция КТПН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FB710C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67434">
              <w:rPr>
                <w:color w:val="000000"/>
                <w:sz w:val="16"/>
                <w:szCs w:val="16"/>
              </w:rPr>
              <w:t>42351</w:t>
            </w:r>
          </w:p>
        </w:tc>
      </w:tr>
      <w:tr w:rsidR="00D95944" w:rsidRPr="00FB710C" w:rsidTr="00E31F5E">
        <w:trPr>
          <w:trHeight w:val="20"/>
        </w:trPr>
        <w:tc>
          <w:tcPr>
            <w:tcW w:w="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D31E1" w:rsidRDefault="00D95944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5D31E1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ТЕЛЬФЕР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FB710C" w:rsidRDefault="00D95944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267434">
              <w:rPr>
                <w:color w:val="000000"/>
                <w:sz w:val="16"/>
                <w:szCs w:val="16"/>
              </w:rPr>
              <w:t>П03.1111</w:t>
            </w:r>
          </w:p>
        </w:tc>
      </w:tr>
      <w:tr w:rsidR="00D95944" w:rsidRPr="000345C7" w:rsidTr="00E31F5E">
        <w:trPr>
          <w:trHeight w:val="20"/>
        </w:trPr>
        <w:tc>
          <w:tcPr>
            <w:tcW w:w="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0345C7" w:rsidRDefault="00D95944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0345C7" w:rsidRDefault="00D95944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45C7">
              <w:rPr>
                <w:b/>
                <w:bCs/>
                <w:color w:val="000000"/>
                <w:sz w:val="16"/>
                <w:szCs w:val="16"/>
              </w:rPr>
              <w:t>Итого по неотъемлемому оборудованию: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944" w:rsidRPr="000345C7" w:rsidRDefault="00D95944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A3BA1" w:rsidRDefault="006A3BA1" w:rsidP="006A3BA1">
      <w:pPr>
        <w:jc w:val="both"/>
        <w:rPr>
          <w:sz w:val="28"/>
          <w:szCs w:val="28"/>
        </w:rPr>
      </w:pPr>
    </w:p>
    <w:p w:rsidR="002F60B4" w:rsidRDefault="001C606E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1C606E">
        <w:rPr>
          <w:b w:val="0"/>
        </w:rPr>
        <w:t xml:space="preserve">Начальная цена торгов в размере не менее </w:t>
      </w:r>
      <w:r w:rsidR="00EC7A3E" w:rsidRPr="00EC7A3E">
        <w:rPr>
          <w:b w:val="0"/>
          <w:szCs w:val="24"/>
        </w:rPr>
        <w:t>40 745 186 (сорок миллионов семьсот сорок пять тысяч сто восемьдесят шесть) руб. 42 коп</w:t>
      </w:r>
      <w:proofErr w:type="gramStart"/>
      <w:r w:rsidR="00EC7A3E" w:rsidRPr="00EC7A3E">
        <w:rPr>
          <w:b w:val="0"/>
          <w:szCs w:val="24"/>
        </w:rPr>
        <w:t>.</w:t>
      </w:r>
      <w:proofErr w:type="gramEnd"/>
      <w:r w:rsidR="00EC7A3E" w:rsidRPr="00EC7A3E">
        <w:rPr>
          <w:b w:val="0"/>
          <w:szCs w:val="24"/>
        </w:rPr>
        <w:t xml:space="preserve"> </w:t>
      </w:r>
      <w:proofErr w:type="gramStart"/>
      <w:r w:rsidR="00EC7A3E" w:rsidRPr="00EC7A3E">
        <w:rPr>
          <w:b w:val="0"/>
          <w:szCs w:val="24"/>
        </w:rPr>
        <w:t>с</w:t>
      </w:r>
      <w:proofErr w:type="gramEnd"/>
      <w:r w:rsidR="00EC7A3E" w:rsidRPr="00EC7A3E">
        <w:rPr>
          <w:b w:val="0"/>
          <w:szCs w:val="24"/>
        </w:rPr>
        <w:t xml:space="preserve"> учетом НДС</w:t>
      </w:r>
      <w:r w:rsidR="00CB590A">
        <w:rPr>
          <w:b w:val="0"/>
          <w:color w:val="000000"/>
          <w:szCs w:val="24"/>
        </w:rPr>
        <w:t>.</w:t>
      </w:r>
    </w:p>
    <w:p w:rsidR="001D69E2" w:rsidRDefault="001D69E2" w:rsidP="002F60B4">
      <w:pPr>
        <w:pStyle w:val="a8"/>
        <w:ind w:left="-567" w:firstLine="567"/>
        <w:rPr>
          <w:b w:val="0"/>
          <w:color w:val="000000"/>
          <w:szCs w:val="24"/>
        </w:rPr>
      </w:pPr>
      <w:bookmarkStart w:id="0" w:name="_GoBack"/>
      <w:bookmarkEnd w:id="0"/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CD6BAF">
        <w:t>135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9232B3">
        <w:t>«</w:t>
      </w:r>
      <w:r w:rsidR="009232B3" w:rsidRPr="009232B3">
        <w:t>31</w:t>
      </w:r>
      <w:r w:rsidRPr="009232B3">
        <w:t xml:space="preserve">» </w:t>
      </w:r>
      <w:r w:rsidR="009232B3" w:rsidRPr="009232B3">
        <w:t>окт</w:t>
      </w:r>
      <w:r w:rsidR="0044593A" w:rsidRPr="009232B3">
        <w:t>ября</w:t>
      </w:r>
      <w:r w:rsidR="006976D5" w:rsidRPr="009232B3">
        <w:t xml:space="preserve"> 2017</w:t>
      </w:r>
      <w:r w:rsidRPr="009232B3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lastRenderedPageBreak/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9232B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9232B3">
        <w:rPr>
          <w:bCs/>
        </w:rPr>
        <w:t>1.2.4. Дата и место проведения аукциона: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 w:rsidRPr="009232B3">
        <w:rPr>
          <w:b/>
        </w:rPr>
        <w:t xml:space="preserve">Дата проведения аукциона: </w:t>
      </w:r>
      <w:r w:rsidR="00B677AA" w:rsidRPr="009232B3">
        <w:t>«</w:t>
      </w:r>
      <w:r w:rsidR="009232B3" w:rsidRPr="009232B3">
        <w:t>02</w:t>
      </w:r>
      <w:r w:rsidRPr="009232B3">
        <w:t xml:space="preserve">» </w:t>
      </w:r>
      <w:r w:rsidR="009232B3" w:rsidRPr="009232B3">
        <w:t>ноября</w:t>
      </w:r>
      <w:r w:rsidRPr="009232B3">
        <w:t xml:space="preserve"> 201</w:t>
      </w:r>
      <w:r w:rsidR="006976D5" w:rsidRPr="009232B3">
        <w:t>7</w:t>
      </w:r>
      <w:r w:rsidRPr="009232B3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lastRenderedPageBreak/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9232B3">
        <w:rPr>
          <w:b/>
          <w:bCs/>
        </w:rPr>
        <w:t>информационного соо</w:t>
      </w:r>
      <w:r w:rsidR="00B364C2" w:rsidRPr="009232B3">
        <w:rPr>
          <w:b/>
          <w:bCs/>
        </w:rPr>
        <w:t>бщения о проведен</w:t>
      </w:r>
      <w:proofErr w:type="gramStart"/>
      <w:r w:rsidR="00B364C2" w:rsidRPr="009232B3">
        <w:rPr>
          <w:b/>
          <w:bCs/>
        </w:rPr>
        <w:t>ии ау</w:t>
      </w:r>
      <w:proofErr w:type="gramEnd"/>
      <w:r w:rsidR="00B364C2" w:rsidRPr="009232B3">
        <w:rPr>
          <w:b/>
          <w:bCs/>
        </w:rPr>
        <w:t xml:space="preserve">кциона № </w:t>
      </w:r>
      <w:r w:rsidR="00382525" w:rsidRPr="009232B3">
        <w:rPr>
          <w:b/>
          <w:bCs/>
        </w:rPr>
        <w:t>1</w:t>
      </w:r>
      <w:r w:rsidR="00CD6BAF" w:rsidRPr="009232B3">
        <w:rPr>
          <w:b/>
          <w:bCs/>
        </w:rPr>
        <w:t>35</w:t>
      </w:r>
      <w:r w:rsidRPr="009232B3">
        <w:rPr>
          <w:b/>
          <w:bCs/>
        </w:rPr>
        <w:t xml:space="preserve"> и не позднее 12:00  московского времени </w:t>
      </w:r>
      <w:r w:rsidR="00B364C2" w:rsidRPr="009232B3">
        <w:rPr>
          <w:b/>
          <w:bCs/>
        </w:rPr>
        <w:t>«</w:t>
      </w:r>
      <w:r w:rsidR="009232B3" w:rsidRPr="009232B3">
        <w:rPr>
          <w:b/>
          <w:bCs/>
        </w:rPr>
        <w:t>31</w:t>
      </w:r>
      <w:r w:rsidRPr="009232B3">
        <w:rPr>
          <w:b/>
          <w:bCs/>
        </w:rPr>
        <w:t xml:space="preserve">» </w:t>
      </w:r>
      <w:r w:rsidR="009232B3" w:rsidRPr="009232B3">
        <w:rPr>
          <w:b/>
          <w:bCs/>
        </w:rPr>
        <w:t>октября</w:t>
      </w:r>
      <w:r w:rsidR="006976D5" w:rsidRPr="009232B3">
        <w:rPr>
          <w:b/>
          <w:bCs/>
        </w:rPr>
        <w:t xml:space="preserve"> 2017</w:t>
      </w:r>
      <w:r w:rsidRPr="009232B3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lastRenderedPageBreak/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lastRenderedPageBreak/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960497">
        <w:rPr>
          <w:rFonts w:ascii="Times New Roman" w:hAnsi="Times New Roman" w:cs="Times New Roman"/>
          <w:sz w:val="24"/>
          <w:szCs w:val="24"/>
        </w:rPr>
        <w:t>35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</w:t>
      </w:r>
      <w:r w:rsidRPr="00580E3C">
        <w:rPr>
          <w:bCs/>
          <w:color w:val="000000"/>
        </w:rPr>
        <w:lastRenderedPageBreak/>
        <w:t xml:space="preserve">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lastRenderedPageBreak/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960497">
        <w:rPr>
          <w:b/>
          <w:bCs/>
          <w:iCs/>
          <w:color w:val="000000"/>
        </w:rPr>
        <w:t>135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960497">
        <w:rPr>
          <w:color w:val="000000"/>
        </w:rPr>
        <w:t>35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960497">
        <w:t>135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960497">
        <w:t>135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</w:t>
      </w:r>
      <w:r w:rsidR="00960497">
        <w:rPr>
          <w:b/>
          <w:bCs/>
        </w:rPr>
        <w:t>35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960497">
        <w:rPr>
          <w:bCs/>
        </w:rPr>
        <w:t>135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5E" w:rsidRDefault="00E31F5E">
      <w:r>
        <w:separator/>
      </w:r>
    </w:p>
  </w:endnote>
  <w:endnote w:type="continuationSeparator" w:id="0">
    <w:p w:rsidR="00E31F5E" w:rsidRDefault="00E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Default="00E31F5E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1F5E" w:rsidRDefault="00E31F5E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Default="00E31F5E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Pr="00BB58B8" w:rsidRDefault="00E31F5E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Default="00E31F5E">
    <w:pPr>
      <w:pStyle w:val="a3"/>
      <w:jc w:val="right"/>
    </w:pPr>
  </w:p>
  <w:p w:rsidR="00E31F5E" w:rsidRDefault="00E31F5E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5E" w:rsidRDefault="00E31F5E">
      <w:r>
        <w:separator/>
      </w:r>
    </w:p>
  </w:footnote>
  <w:footnote w:type="continuationSeparator" w:id="0">
    <w:p w:rsidR="00E31F5E" w:rsidRDefault="00E3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Default="00E31F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Pr="004638D0" w:rsidRDefault="00E31F5E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Pr="001B0E87" w:rsidRDefault="00E31F5E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Pr="001B0E87" w:rsidRDefault="00E31F5E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Pr="001B0E87" w:rsidRDefault="00E31F5E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5E" w:rsidRPr="001B0E87" w:rsidRDefault="00E31F5E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463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248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2B3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497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BAF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5944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5E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ED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AABB-1E2B-415E-A429-33A8DC5D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5051</Words>
  <Characters>38456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43421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6</cp:revision>
  <cp:lastPrinted>2017-07-18T10:00:00Z</cp:lastPrinted>
  <dcterms:created xsi:type="dcterms:W3CDTF">2017-09-21T08:11:00Z</dcterms:created>
  <dcterms:modified xsi:type="dcterms:W3CDTF">2017-09-26T06:35:00Z</dcterms:modified>
</cp:coreProperties>
</file>