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F5144">
        <w:rPr>
          <w:b/>
          <w:color w:val="000000"/>
          <w:sz w:val="32"/>
          <w:szCs w:val="32"/>
        </w:rPr>
        <w:t>97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4F5144" w:rsidRDefault="004F5144" w:rsidP="00A21163">
      <w:pPr>
        <w:jc w:val="center"/>
        <w:rPr>
          <w:b/>
          <w:color w:val="000000"/>
          <w:sz w:val="32"/>
          <w:szCs w:val="32"/>
        </w:rPr>
      </w:pPr>
    </w:p>
    <w:p w:rsidR="004F5144" w:rsidRDefault="004F5144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4F5144">
              <w:rPr>
                <w:b/>
              </w:rPr>
              <w:t>97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4F5144">
        <w:rPr>
          <w:b/>
        </w:rPr>
        <w:t>97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4F5144">
        <w:t>97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DD7F49" w:rsidRDefault="004F5144" w:rsidP="00DD7F49">
      <w:pPr>
        <w:tabs>
          <w:tab w:val="left" w:pos="-567"/>
          <w:tab w:val="left" w:pos="284"/>
        </w:tabs>
        <w:ind w:left="-567" w:firstLine="567"/>
        <w:jc w:val="both"/>
      </w:pPr>
      <w:r>
        <w:t>Имущественный комплекс, в который входит 11</w:t>
      </w:r>
      <w:r w:rsidR="00785E9F" w:rsidRPr="00785E9F">
        <w:t xml:space="preserve"> единиц недвижимого имущества и </w:t>
      </w:r>
      <w:r>
        <w:t>5</w:t>
      </w:r>
      <w:r w:rsidR="00785E9F" w:rsidRPr="00785E9F">
        <w:t xml:space="preserve"> единицы </w:t>
      </w:r>
      <w:r>
        <w:rPr>
          <w:bCs/>
        </w:rPr>
        <w:t>неотъемлемого оборудования</w:t>
      </w:r>
      <w:r w:rsidR="00785E9F" w:rsidRPr="00785E9F">
        <w:rPr>
          <w:bCs/>
        </w:rPr>
        <w:t xml:space="preserve">, расположенный по адресу: </w:t>
      </w:r>
      <w:r>
        <w:t>Белгородская</w:t>
      </w:r>
      <w:r w:rsidR="00785E9F" w:rsidRPr="00785E9F">
        <w:t xml:space="preserve"> област</w:t>
      </w:r>
      <w:r w:rsidR="00690FCF">
        <w:t xml:space="preserve">ь, г. </w:t>
      </w:r>
      <w:r>
        <w:t>Старый Оскол, ул. Вагонная, 22</w:t>
      </w:r>
      <w:r w:rsidR="00690FCF">
        <w:t>:</w:t>
      </w: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546"/>
        <w:gridCol w:w="5834"/>
        <w:gridCol w:w="1560"/>
        <w:gridCol w:w="1982"/>
      </w:tblGrid>
      <w:tr w:rsidR="00DD7F49" w:rsidTr="00FB3D09">
        <w:trPr>
          <w:trHeight w:val="85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7F49" w:rsidRDefault="00DD7F49" w:rsidP="00820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7F49" w:rsidRDefault="00DD7F49" w:rsidP="00820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7F49" w:rsidRDefault="00DD7F49" w:rsidP="00820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, кв.м./м/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7F49" w:rsidRDefault="00DD7F49" w:rsidP="00820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CB6D51" w:rsidTr="00FB3D09">
        <w:trPr>
          <w:trHeight w:val="30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B6D51" w:rsidRDefault="00CB6D51" w:rsidP="00820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DD7F49" w:rsidRPr="00AC04D0" w:rsidTr="00FB3D09">
        <w:trPr>
          <w:trHeight w:val="4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 xml:space="preserve">Здание бетоносмесительного узла, нежилое, кадастровый (или условный) номер: 31:06:0000000:0000:14:440:001:005123140:0002:20001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194369 от 21.05.2007</w:t>
            </w:r>
          </w:p>
        </w:tc>
      </w:tr>
      <w:tr w:rsidR="00DD7F49" w:rsidRPr="00AC04D0" w:rsidTr="00FB3D09">
        <w:trPr>
          <w:trHeight w:val="56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 xml:space="preserve">Нежилое здание - здание гаража, кадастровый (или условный) номер: 31:06:0000000:0000:14:440:001:005123140:0003:20001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194361 от 21.05.2007</w:t>
            </w:r>
          </w:p>
        </w:tc>
      </w:tr>
      <w:tr w:rsidR="00DD7F49" w:rsidRPr="00AC04D0" w:rsidTr="00FB3D09">
        <w:trPr>
          <w:trHeight w:val="41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Здание кладовой, нежилое, кадастровый (или условный) номер: 31:06:0000000:0000:14:440:001:005123140:0004:20001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194365 от 21.05.2007</w:t>
            </w:r>
          </w:p>
        </w:tc>
      </w:tr>
      <w:tr w:rsidR="00DD7F49" w:rsidRPr="00AC04D0" w:rsidTr="00FB3D09">
        <w:trPr>
          <w:trHeight w:val="55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Здание конторы прорабского пункта, нежилое, кадастровый (или условный) номер: 31:06:0000000:0000:14:440:001:005123140:0005:20001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194364 от 21.05.2007</w:t>
            </w:r>
          </w:p>
        </w:tc>
      </w:tr>
      <w:tr w:rsidR="00DD7F49" w:rsidRPr="00AC04D0" w:rsidTr="00FB3D09">
        <w:trPr>
          <w:trHeight w:val="57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Нежилое здание - здание столярного цеха, кадастровый (или условный) номер: 31:06:0000000:0000:14:440:001:005123140:0001:20001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194362 от 21.05.2007</w:t>
            </w:r>
          </w:p>
        </w:tc>
      </w:tr>
      <w:tr w:rsidR="00DD7F49" w:rsidRPr="00AC04D0" w:rsidTr="00FB3D09">
        <w:trPr>
          <w:trHeight w:val="413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Нежилое здание - склад цемента, кадастровый (или условный) номер: 31:06:0000000:0000:14:440:001:005123140:0006:20001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194360 от 21.05.2007</w:t>
            </w:r>
          </w:p>
        </w:tc>
      </w:tr>
      <w:tr w:rsidR="00DD7F49" w:rsidRPr="00AC04D0" w:rsidTr="00FB3D09">
        <w:trPr>
          <w:trHeight w:val="549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Сооружение - наружный водопровод, кадастровый (или условный) номер: 31:06:0000000:0000:14:440:001:005123140:0010:20001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194366 от 21.05.2007</w:t>
            </w:r>
          </w:p>
        </w:tc>
      </w:tr>
      <w:tr w:rsidR="00DD7F49" w:rsidRPr="00AC04D0" w:rsidTr="00FB3D09">
        <w:trPr>
          <w:trHeight w:val="55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Сооружение - забор ограждения, кадастровый (или условный) номер: 31:06:0000000:0000:14:440:001:005123140:0007:20001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194368 от 21.05.2007</w:t>
            </w:r>
          </w:p>
        </w:tc>
      </w:tr>
      <w:tr w:rsidR="00DD7F49" w:rsidRPr="00AC04D0" w:rsidTr="00FB3D09">
        <w:trPr>
          <w:trHeight w:val="55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Сооружение - площадка ст. Старый Оскол, кадастровый (или условный) номер: 31:06:0000000:0000:14:440:001:005123140:0008:20001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194374 от 21.05.2007</w:t>
            </w:r>
          </w:p>
        </w:tc>
      </w:tr>
      <w:tr w:rsidR="00DD7F49" w:rsidRPr="00AC04D0" w:rsidTr="00FB3D09">
        <w:trPr>
          <w:trHeight w:val="431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Сооружение - путь подъездной ж/д, кадастровый (или условный) номер: 31:06:0000000:0000:14:440:001:005123140:0009:20001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194370 от 21.05.2007</w:t>
            </w:r>
          </w:p>
        </w:tc>
      </w:tr>
      <w:tr w:rsidR="00DD7F49" w:rsidRPr="00AC04D0" w:rsidTr="00FB3D09">
        <w:trPr>
          <w:trHeight w:val="567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820A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7F4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Pr="00DD7F49" w:rsidRDefault="00DD7F49" w:rsidP="00DD7F49">
            <w:pPr>
              <w:rPr>
                <w:color w:val="000000"/>
                <w:sz w:val="16"/>
                <w:szCs w:val="16"/>
              </w:rPr>
            </w:pPr>
            <w:r w:rsidRPr="00DD7F49">
              <w:rPr>
                <w:color w:val="000000"/>
                <w:sz w:val="16"/>
                <w:szCs w:val="16"/>
              </w:rPr>
              <w:t>Сооружение - сети тепловые наружные, кадастровый (или условный) номер: 31:06:0000000:0000:14:440:001:005123140:0011:20001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49" w:rsidRDefault="00DD7F49" w:rsidP="00820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 АБ 194367 от 21.05.2007</w:t>
            </w:r>
          </w:p>
        </w:tc>
      </w:tr>
      <w:tr w:rsidR="00CB6D51" w:rsidRPr="00AC04D0" w:rsidTr="00FB3D09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D51" w:rsidRPr="00CB6D51" w:rsidRDefault="00CB6D51" w:rsidP="00820A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6D51">
              <w:rPr>
                <w:b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</w:tbl>
    <w:p w:rsidR="00E30C25" w:rsidRPr="00967A21" w:rsidRDefault="00E30C25" w:rsidP="00E30C25">
      <w:pPr>
        <w:rPr>
          <w:vanish/>
        </w:rPr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566"/>
        <w:gridCol w:w="5812"/>
        <w:gridCol w:w="3544"/>
      </w:tblGrid>
      <w:tr w:rsidR="00EC62D4" w:rsidRPr="00164D62" w:rsidTr="00FB3D09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2D4" w:rsidRPr="00327FBF" w:rsidRDefault="00EC62D4" w:rsidP="0021779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both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Бункер для цемента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center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05101</w:t>
            </w:r>
          </w:p>
        </w:tc>
      </w:tr>
      <w:tr w:rsidR="00EC62D4" w:rsidRPr="00164D62" w:rsidTr="00FB3D09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2D4" w:rsidRPr="00327FBF" w:rsidRDefault="00EC62D4" w:rsidP="0021779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both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 xml:space="preserve">Бункер </w:t>
            </w:r>
            <w:proofErr w:type="spellStart"/>
            <w:r w:rsidRPr="0021779C">
              <w:rPr>
                <w:sz w:val="16"/>
                <w:szCs w:val="16"/>
              </w:rPr>
              <w:t>пескораздаточный</w:t>
            </w:r>
            <w:proofErr w:type="spellEnd"/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center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02005</w:t>
            </w:r>
          </w:p>
        </w:tc>
      </w:tr>
      <w:tr w:rsidR="00EC62D4" w:rsidRPr="00164D62" w:rsidTr="00FB3D09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2D4" w:rsidRPr="00327FBF" w:rsidRDefault="00EC62D4" w:rsidP="0021779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both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 xml:space="preserve">Бетономешалка </w:t>
            </w:r>
            <w:proofErr w:type="gramStart"/>
            <w:r w:rsidRPr="0021779C">
              <w:rPr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center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5112</w:t>
            </w:r>
          </w:p>
        </w:tc>
      </w:tr>
      <w:tr w:rsidR="00EC62D4" w:rsidRPr="00164D62" w:rsidTr="00FB3D09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2D4" w:rsidRPr="00327FBF" w:rsidRDefault="00EC62D4" w:rsidP="0021779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both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center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5107</w:t>
            </w:r>
          </w:p>
        </w:tc>
      </w:tr>
      <w:tr w:rsidR="00EC62D4" w:rsidRPr="00164D62" w:rsidTr="00FB3D09">
        <w:trPr>
          <w:trHeight w:val="20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2D4" w:rsidRPr="00327FBF" w:rsidRDefault="00EC62D4" w:rsidP="0021779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both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Установка СБ-140А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2D4" w:rsidRPr="0021779C" w:rsidRDefault="00EC62D4" w:rsidP="0021779C">
            <w:pPr>
              <w:jc w:val="center"/>
              <w:outlineLvl w:val="1"/>
              <w:rPr>
                <w:sz w:val="16"/>
                <w:szCs w:val="16"/>
              </w:rPr>
            </w:pPr>
            <w:r w:rsidRPr="0021779C">
              <w:rPr>
                <w:sz w:val="16"/>
                <w:szCs w:val="16"/>
              </w:rPr>
              <w:t>5082</w:t>
            </w:r>
          </w:p>
        </w:tc>
      </w:tr>
    </w:tbl>
    <w:p w:rsidR="00E30C25" w:rsidRPr="00A8240B" w:rsidRDefault="00E30C25" w:rsidP="0021779C">
      <w:pPr>
        <w:ind w:left="720"/>
        <w:jc w:val="center"/>
        <w:rPr>
          <w:sz w:val="16"/>
          <w:szCs w:val="16"/>
        </w:rPr>
      </w:pPr>
    </w:p>
    <w:p w:rsidR="00E91590" w:rsidRPr="00601572" w:rsidRDefault="00E91590" w:rsidP="00603C70">
      <w:pPr>
        <w:ind w:left="-567" w:firstLine="567"/>
        <w:jc w:val="both"/>
      </w:pPr>
      <w:r w:rsidRPr="00601572">
        <w:t>Объекты недвижимости в составе имущественного комплекса размещены на земельном участке площадью 20 551 кв. м. в полосе отвода Юго-Восточной железной дороги (договор субаренды №ЦРИЗ/4</w:t>
      </w:r>
      <w:proofErr w:type="gramStart"/>
      <w:r w:rsidRPr="00601572">
        <w:t>/А</w:t>
      </w:r>
      <w:proofErr w:type="gramEnd"/>
      <w:r w:rsidRPr="00601572">
        <w:t xml:space="preserve">/0711010000/08/ от 01.01.2008г). Категория земель: земли населенных пунктов. Разрешенное использование: для обслуживания и эксплуатации объектов железнодорожного транспорта. </w:t>
      </w:r>
    </w:p>
    <w:p w:rsidR="00603C70" w:rsidRPr="00601572" w:rsidRDefault="00603C70" w:rsidP="00603C70">
      <w:pPr>
        <w:ind w:left="-567" w:firstLine="567"/>
        <w:jc w:val="both"/>
      </w:pPr>
      <w:r w:rsidRPr="00601572">
        <w:lastRenderedPageBreak/>
        <w:t xml:space="preserve">Начальная цена торгов в размере </w:t>
      </w:r>
      <w:r w:rsidR="00525B5D" w:rsidRPr="00601572">
        <w:t>7 502 024</w:t>
      </w:r>
      <w:r w:rsidR="00D909A2" w:rsidRPr="00601572">
        <w:t xml:space="preserve"> (семь миллионов </w:t>
      </w:r>
      <w:r w:rsidR="00166D6A" w:rsidRPr="00601572">
        <w:t>пятьсот две</w:t>
      </w:r>
      <w:r w:rsidR="00D909A2" w:rsidRPr="00601572">
        <w:t xml:space="preserve"> тысяч</w:t>
      </w:r>
      <w:r w:rsidR="00166D6A" w:rsidRPr="00601572">
        <w:t>и двадцать четыре</w:t>
      </w:r>
      <w:r w:rsidR="00D909A2" w:rsidRPr="00601572">
        <w:t xml:space="preserve">) руб. </w:t>
      </w:r>
      <w:r w:rsidR="00525B5D" w:rsidRPr="00601572">
        <w:t xml:space="preserve">99 </w:t>
      </w:r>
      <w:r w:rsidR="00D909A2" w:rsidRPr="00601572">
        <w:t>коп</w:t>
      </w:r>
      <w:proofErr w:type="gramStart"/>
      <w:r w:rsidR="00D909A2" w:rsidRPr="00601572">
        <w:t>.</w:t>
      </w:r>
      <w:proofErr w:type="gramEnd"/>
      <w:r w:rsidR="00D909A2" w:rsidRPr="00601572">
        <w:t xml:space="preserve"> </w:t>
      </w:r>
      <w:proofErr w:type="gramStart"/>
      <w:r w:rsidR="00D909A2" w:rsidRPr="00601572">
        <w:t>с</w:t>
      </w:r>
      <w:proofErr w:type="gramEnd"/>
      <w:r w:rsidR="00D909A2" w:rsidRPr="00601572">
        <w:t xml:space="preserve"> учетом НДС и </w:t>
      </w:r>
      <w:r w:rsidR="001258BC" w:rsidRPr="00601572">
        <w:t>6 357 648</w:t>
      </w:r>
      <w:r w:rsidR="00D909A2" w:rsidRPr="00601572">
        <w:t xml:space="preserve"> (шесть миллионов </w:t>
      </w:r>
      <w:r w:rsidR="00FF0F27" w:rsidRPr="00601572">
        <w:t>триста пятьдесят семь</w:t>
      </w:r>
      <w:r w:rsidR="00D909A2" w:rsidRPr="00601572">
        <w:t xml:space="preserve"> тысяч шестьсот </w:t>
      </w:r>
      <w:r w:rsidR="00FF0F27" w:rsidRPr="00601572">
        <w:t>сорок восемь</w:t>
      </w:r>
      <w:r w:rsidR="00D909A2" w:rsidRPr="00601572">
        <w:t xml:space="preserve">) руб. </w:t>
      </w:r>
      <w:r w:rsidR="001258BC" w:rsidRPr="00601572">
        <w:t>30</w:t>
      </w:r>
      <w:r w:rsidR="00D909A2" w:rsidRPr="00601572">
        <w:t xml:space="preserve"> коп. без НДС</w:t>
      </w:r>
      <w:r w:rsidRPr="00601572">
        <w:t>.</w:t>
      </w:r>
    </w:p>
    <w:p w:rsidR="001A13B8" w:rsidRDefault="001A13B8" w:rsidP="005305B9">
      <w:pPr>
        <w:ind w:left="-567" w:firstLine="567"/>
        <w:jc w:val="both"/>
        <w:rPr>
          <w:sz w:val="16"/>
          <w:szCs w:val="16"/>
        </w:rPr>
      </w:pPr>
    </w:p>
    <w:p w:rsidR="004E30EB" w:rsidRPr="00870549" w:rsidRDefault="004E30EB" w:rsidP="004E30EB">
      <w:pPr>
        <w:ind w:left="-567"/>
        <w:jc w:val="both"/>
      </w:pPr>
    </w:p>
    <w:p w:rsidR="004E30EB" w:rsidRDefault="004E30EB" w:rsidP="004E30EB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4E30EB" w:rsidRPr="00EB669E" w:rsidRDefault="004E30EB" w:rsidP="004E30EB">
      <w:pPr>
        <w:ind w:left="-567" w:firstLine="567"/>
        <w:jc w:val="both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6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102"/>
        <w:gridCol w:w="913"/>
        <w:gridCol w:w="3728"/>
      </w:tblGrid>
      <w:tr w:rsidR="00303A2D" w:rsidRPr="00823593" w:rsidTr="00303A2D">
        <w:trPr>
          <w:trHeight w:val="892"/>
        </w:trPr>
        <w:tc>
          <w:tcPr>
            <w:tcW w:w="432" w:type="pct"/>
            <w:shd w:val="clear" w:color="000000" w:fill="D9D9D9"/>
            <w:vAlign w:val="center"/>
            <w:hideMark/>
          </w:tcPr>
          <w:p w:rsidR="00303A2D" w:rsidRPr="00823593" w:rsidRDefault="00303A2D" w:rsidP="00303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143" w:type="pct"/>
            <w:shd w:val="clear" w:color="000000" w:fill="D9D9D9"/>
            <w:vAlign w:val="center"/>
            <w:hideMark/>
          </w:tcPr>
          <w:p w:rsidR="00303A2D" w:rsidRPr="00823593" w:rsidRDefault="00303A2D" w:rsidP="00303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477" w:type="pct"/>
            <w:shd w:val="clear" w:color="000000" w:fill="D9D9D9"/>
            <w:vAlign w:val="center"/>
            <w:hideMark/>
          </w:tcPr>
          <w:p w:rsidR="00303A2D" w:rsidRPr="00823593" w:rsidRDefault="00303A2D" w:rsidP="00303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кв.м.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948" w:type="pct"/>
            <w:shd w:val="clear" w:color="000000" w:fill="D9D9D9"/>
            <w:vAlign w:val="center"/>
            <w:hideMark/>
          </w:tcPr>
          <w:p w:rsidR="00303A2D" w:rsidRPr="00823593" w:rsidRDefault="00303A2D" w:rsidP="00303A2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303A2D" w:rsidRPr="00823593" w:rsidTr="00303A2D">
        <w:trPr>
          <w:trHeight w:val="550"/>
        </w:trPr>
        <w:tc>
          <w:tcPr>
            <w:tcW w:w="432" w:type="pct"/>
            <w:shd w:val="clear" w:color="auto" w:fill="auto"/>
            <w:vAlign w:val="center"/>
            <w:hideMark/>
          </w:tcPr>
          <w:p w:rsidR="00303A2D" w:rsidRPr="00303A2D" w:rsidRDefault="00303A2D" w:rsidP="00303A2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3A2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3" w:type="pct"/>
            <w:shd w:val="clear" w:color="auto" w:fill="auto"/>
            <w:vAlign w:val="center"/>
            <w:hideMark/>
          </w:tcPr>
          <w:p w:rsidR="00303A2D" w:rsidRPr="00B0019F" w:rsidRDefault="00303A2D" w:rsidP="00303A2D">
            <w:pPr>
              <w:outlineLvl w:val="1"/>
              <w:rPr>
                <w:sz w:val="16"/>
                <w:szCs w:val="16"/>
              </w:rPr>
            </w:pPr>
            <w:r w:rsidRPr="00B0019F">
              <w:rPr>
                <w:sz w:val="16"/>
                <w:szCs w:val="16"/>
              </w:rPr>
              <w:t xml:space="preserve">Здание </w:t>
            </w:r>
            <w:proofErr w:type="spellStart"/>
            <w:r w:rsidRPr="00B0019F">
              <w:rPr>
                <w:sz w:val="16"/>
                <w:szCs w:val="16"/>
              </w:rPr>
              <w:t>льдопункта</w:t>
            </w:r>
            <w:proofErr w:type="spellEnd"/>
            <w:r>
              <w:rPr>
                <w:sz w:val="16"/>
                <w:szCs w:val="16"/>
              </w:rPr>
              <w:t>, одноэтажное,</w:t>
            </w:r>
            <w:r>
              <w:rPr>
                <w:color w:val="000000"/>
                <w:sz w:val="16"/>
                <w:szCs w:val="16"/>
              </w:rPr>
              <w:t xml:space="preserve"> кадастровый (</w:t>
            </w:r>
            <w:r w:rsidRPr="00D71FBD">
              <w:rPr>
                <w:color w:val="000000"/>
                <w:sz w:val="16"/>
                <w:szCs w:val="16"/>
                <w:u w:val="single"/>
              </w:rPr>
              <w:t>или условный)</w:t>
            </w:r>
            <w:r>
              <w:rPr>
                <w:color w:val="000000"/>
                <w:sz w:val="16"/>
                <w:szCs w:val="16"/>
              </w:rPr>
              <w:t xml:space="preserve"> номер: </w:t>
            </w:r>
            <w:r w:rsidRPr="00E61AE6">
              <w:rPr>
                <w:sz w:val="16"/>
                <w:szCs w:val="16"/>
              </w:rPr>
              <w:t xml:space="preserve">55-55-01/173/2006-205 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303A2D" w:rsidRPr="00B0019F" w:rsidRDefault="00303A2D" w:rsidP="00303A2D">
            <w:pPr>
              <w:jc w:val="center"/>
              <w:outlineLvl w:val="1"/>
              <w:rPr>
                <w:sz w:val="16"/>
                <w:szCs w:val="16"/>
              </w:rPr>
            </w:pPr>
            <w:r w:rsidRPr="00B0019F">
              <w:rPr>
                <w:sz w:val="16"/>
                <w:szCs w:val="16"/>
              </w:rPr>
              <w:t>163,70</w:t>
            </w:r>
          </w:p>
        </w:tc>
        <w:tc>
          <w:tcPr>
            <w:tcW w:w="1948" w:type="pct"/>
            <w:shd w:val="clear" w:color="auto" w:fill="auto"/>
            <w:vAlign w:val="center"/>
            <w:hideMark/>
          </w:tcPr>
          <w:p w:rsidR="00303A2D" w:rsidRPr="00B0019F" w:rsidRDefault="00303A2D" w:rsidP="00303A2D">
            <w:pPr>
              <w:jc w:val="center"/>
              <w:outlineLvl w:val="1"/>
              <w:rPr>
                <w:sz w:val="16"/>
                <w:szCs w:val="16"/>
              </w:rPr>
            </w:pPr>
            <w:r w:rsidRPr="00B0019F">
              <w:rPr>
                <w:sz w:val="16"/>
                <w:szCs w:val="16"/>
              </w:rPr>
              <w:t>55 АВ 421745 от 07.06.2007</w:t>
            </w:r>
          </w:p>
        </w:tc>
      </w:tr>
    </w:tbl>
    <w:p w:rsidR="003B4883" w:rsidRDefault="00601572" w:rsidP="00A37409">
      <w:pPr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  <w:r>
        <w:t xml:space="preserve">Объект недвижимого имущества (здание </w:t>
      </w:r>
      <w:proofErr w:type="spellStart"/>
      <w:r>
        <w:t>льдопункта</w:t>
      </w:r>
      <w:proofErr w:type="spellEnd"/>
      <w:r>
        <w:t>)</w:t>
      </w:r>
      <w:r w:rsidR="003B4883" w:rsidRPr="003B4883">
        <w:rPr>
          <w:bCs/>
        </w:rPr>
        <w:t xml:space="preserve">, расположенный по адресу: </w:t>
      </w:r>
      <w:r>
        <w:rPr>
          <w:bCs/>
        </w:rPr>
        <w:t xml:space="preserve">г. Омск, ул. </w:t>
      </w:r>
      <w:proofErr w:type="spellStart"/>
      <w:r>
        <w:rPr>
          <w:bCs/>
        </w:rPr>
        <w:t>Карбышева</w:t>
      </w:r>
      <w:proofErr w:type="spellEnd"/>
      <w:r>
        <w:rPr>
          <w:bCs/>
        </w:rPr>
        <w:t>, д. 2</w:t>
      </w:r>
    </w:p>
    <w:p w:rsidR="004E30EB" w:rsidRPr="000F6EFA" w:rsidRDefault="000F6EFA" w:rsidP="004E30EB">
      <w:pPr>
        <w:ind w:left="-567" w:firstLine="567"/>
        <w:jc w:val="both"/>
      </w:pPr>
      <w:r w:rsidRPr="000F6EFA">
        <w:t>Объект недвижимого имущества размещен на земельном участке (</w:t>
      </w:r>
      <w:r w:rsidRPr="000F6EFA">
        <w:rPr>
          <w:color w:val="000000"/>
        </w:rPr>
        <w:t xml:space="preserve">кадастровый номер: </w:t>
      </w:r>
      <w:r w:rsidRPr="000F6EFA">
        <w:t>55:36:090302:805) площадью 213 кв.м., находящемся в собственности публично-правовых образований. Категория земель: земли населённых пунктов, разрешенное использование: под общественно-деловые цели. Договорные отношения на пользование земельным участком не оформлены.</w:t>
      </w:r>
    </w:p>
    <w:p w:rsidR="004E30EB" w:rsidRPr="000F6EFA" w:rsidRDefault="004E30EB" w:rsidP="005305B9">
      <w:pPr>
        <w:ind w:left="-567" w:firstLine="567"/>
        <w:jc w:val="both"/>
      </w:pPr>
      <w:r w:rsidRPr="000F6EFA">
        <w:t xml:space="preserve">Начальная цена торгов в размере </w:t>
      </w:r>
      <w:r w:rsidR="000F6EFA" w:rsidRPr="000F6EFA">
        <w:rPr>
          <w:color w:val="000000"/>
        </w:rPr>
        <w:t>1 103 338</w:t>
      </w:r>
      <w:r w:rsidR="000F6EFA" w:rsidRPr="000F6EFA">
        <w:t xml:space="preserve"> (один миллион сто три тысячи триста тридцать восемь) руб. 00 коп</w:t>
      </w:r>
      <w:proofErr w:type="gramStart"/>
      <w:r w:rsidR="000F6EFA" w:rsidRPr="000F6EFA">
        <w:t>.</w:t>
      </w:r>
      <w:proofErr w:type="gramEnd"/>
      <w:r w:rsidR="000F6EFA" w:rsidRPr="000F6EFA">
        <w:t xml:space="preserve"> </w:t>
      </w:r>
      <w:proofErr w:type="gramStart"/>
      <w:r w:rsidR="000F6EFA" w:rsidRPr="000F6EFA">
        <w:t>с</w:t>
      </w:r>
      <w:proofErr w:type="gramEnd"/>
      <w:r w:rsidR="000F6EFA" w:rsidRPr="000F6EFA">
        <w:t xml:space="preserve"> учетом НДС и </w:t>
      </w:r>
      <w:r w:rsidR="000F6EFA" w:rsidRPr="000F6EFA">
        <w:rPr>
          <w:bCs/>
          <w:color w:val="000000"/>
        </w:rPr>
        <w:t>935 032</w:t>
      </w:r>
      <w:r w:rsidR="000F6EFA" w:rsidRPr="000F6EFA">
        <w:t xml:space="preserve"> (девятьсот тридцать пять тысяч тридцать два) руб. 20 коп. без НДС</w:t>
      </w:r>
      <w:r w:rsidR="00727E11" w:rsidRPr="000F6EFA">
        <w:t>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30233C">
        <w:t>97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30233C">
        <w:t xml:space="preserve"> доб. 1318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96C92">
        <w:t>19</w:t>
      </w:r>
      <w:r w:rsidRPr="005D0C87">
        <w:t xml:space="preserve">» </w:t>
      </w:r>
      <w:r w:rsidR="00D96C92">
        <w:t>апреля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</w:t>
      </w:r>
      <w:r w:rsidRPr="00580E3C">
        <w:rPr>
          <w:bCs/>
        </w:rPr>
        <w:lastRenderedPageBreak/>
        <w:t xml:space="preserve">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96C92">
        <w:t>23</w:t>
      </w:r>
      <w:r w:rsidRPr="005D0C87">
        <w:t xml:space="preserve">» </w:t>
      </w:r>
      <w:r w:rsidR="00D96C92">
        <w:t>апреля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</w:t>
      </w:r>
      <w:bookmarkStart w:id="0" w:name="_GoBack"/>
      <w:bookmarkEnd w:id="0"/>
      <w:r w:rsidRPr="00443E90">
        <w:t>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</w:t>
      </w:r>
      <w:r w:rsidR="007758BD"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3C30D9">
        <w:rPr>
          <w:b/>
          <w:bCs/>
        </w:rPr>
        <w:t>97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3C30D9">
        <w:rPr>
          <w:b/>
          <w:bCs/>
        </w:rPr>
        <w:t>19</w:t>
      </w:r>
      <w:r w:rsidRPr="002B0541">
        <w:rPr>
          <w:b/>
          <w:bCs/>
        </w:rPr>
        <w:t xml:space="preserve">» </w:t>
      </w:r>
      <w:r w:rsidR="003C30D9">
        <w:rPr>
          <w:b/>
          <w:bCs/>
        </w:rPr>
        <w:t>апреля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</w:t>
      </w:r>
      <w:r w:rsidRPr="00395B81">
        <w:lastRenderedPageBreak/>
        <w:t xml:space="preserve">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3C30D9">
        <w:rPr>
          <w:rFonts w:ascii="Times New Roman" w:hAnsi="Times New Roman" w:cs="Times New Roman"/>
          <w:sz w:val="24"/>
          <w:szCs w:val="24"/>
        </w:rPr>
        <w:t>97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3C30D9">
        <w:rPr>
          <w:b/>
          <w:bCs/>
          <w:iCs/>
          <w:color w:val="000000"/>
        </w:rPr>
        <w:t>97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3C30D9">
        <w:rPr>
          <w:color w:val="000000"/>
        </w:rPr>
        <w:t>97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ED12FE">
        <w:t>97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ED12FE">
        <w:t>97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ED12FE">
        <w:rPr>
          <w:b/>
          <w:bCs/>
        </w:rPr>
        <w:t>97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744969">
        <w:rPr>
          <w:bCs/>
        </w:rPr>
        <w:t>97</w:t>
      </w:r>
      <w:r w:rsidRPr="00941C6C">
        <w:rPr>
          <w:bCs/>
        </w:rPr>
        <w:t xml:space="preserve"> 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19" w:rsidRDefault="007B0919">
      <w:r>
        <w:separator/>
      </w:r>
    </w:p>
  </w:endnote>
  <w:endnote w:type="continuationSeparator" w:id="0">
    <w:p w:rsidR="007B0919" w:rsidRDefault="007B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Default="007B091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B0919" w:rsidRDefault="007B091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Default="007B091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BB58B8" w:rsidRDefault="007B091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Default="007B0919">
    <w:pPr>
      <w:pStyle w:val="a3"/>
      <w:jc w:val="right"/>
    </w:pPr>
  </w:p>
  <w:p w:rsidR="007B0919" w:rsidRDefault="007B091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19" w:rsidRDefault="007B0919">
      <w:r>
        <w:separator/>
      </w:r>
    </w:p>
  </w:footnote>
  <w:footnote w:type="continuationSeparator" w:id="0">
    <w:p w:rsidR="007B0919" w:rsidRDefault="007B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Default="007B09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4638D0" w:rsidRDefault="007B091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1B0E87" w:rsidRDefault="007B091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1B0E87" w:rsidRDefault="007B091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1B0E87" w:rsidRDefault="007B091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19" w:rsidRPr="001B0E87" w:rsidRDefault="007B091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EFA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58BC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66D6A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2F4B"/>
    <w:rsid w:val="00213765"/>
    <w:rsid w:val="00213B9F"/>
    <w:rsid w:val="00214786"/>
    <w:rsid w:val="00216484"/>
    <w:rsid w:val="0021779C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3C"/>
    <w:rsid w:val="003023FB"/>
    <w:rsid w:val="003027BA"/>
    <w:rsid w:val="00303A2D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30D9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5144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5B5D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1572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4969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58BD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0919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6D51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BB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9A2"/>
    <w:rsid w:val="00D90EA6"/>
    <w:rsid w:val="00D9105B"/>
    <w:rsid w:val="00D92162"/>
    <w:rsid w:val="00D926E3"/>
    <w:rsid w:val="00D92C65"/>
    <w:rsid w:val="00D92DB4"/>
    <w:rsid w:val="00D94D5C"/>
    <w:rsid w:val="00D96B84"/>
    <w:rsid w:val="00D96C92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D7F49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C25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590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2D4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12FE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D09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0F27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36FC-4140-45A7-9299-254248BD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5010</Words>
  <Characters>37815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42740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Багаутдинов Камиль Сафинович</cp:lastModifiedBy>
  <cp:revision>75</cp:revision>
  <cp:lastPrinted>2017-07-18T10:00:00Z</cp:lastPrinted>
  <dcterms:created xsi:type="dcterms:W3CDTF">2017-08-10T13:27:00Z</dcterms:created>
  <dcterms:modified xsi:type="dcterms:W3CDTF">2018-03-15T13:11:00Z</dcterms:modified>
</cp:coreProperties>
</file>