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C150B4">
        <w:rPr>
          <w:b/>
          <w:bCs/>
          <w:caps/>
          <w:color w:val="000000" w:themeColor="text1"/>
        </w:rPr>
        <w:t>583</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C150B4" w:rsidRPr="0090651D" w:rsidRDefault="00C150B4" w:rsidP="00C150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C150B4" w:rsidRPr="0090651D" w:rsidRDefault="00C150B4" w:rsidP="00C150B4">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C150B4" w:rsidRPr="0090651D" w:rsidRDefault="00C150B4" w:rsidP="00C150B4">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C150B4" w:rsidRDefault="00C150B4" w:rsidP="00C150B4">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C150B4" w:rsidP="00C150B4">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3E2FF6" w:rsidRDefault="0003736A" w:rsidP="0081317C">
            <w:pPr>
              <w:pStyle w:val="Default"/>
              <w:spacing w:before="120"/>
              <w:jc w:val="both"/>
              <w:rPr>
                <w:rFonts w:eastAsia="Times New Roman"/>
                <w:b/>
                <w:lang w:eastAsia="ru-RU"/>
              </w:rPr>
            </w:pPr>
            <w:r w:rsidRPr="003E2FF6">
              <w:rPr>
                <w:rFonts w:eastAsia="Times New Roman"/>
                <w:b/>
                <w:lang w:eastAsia="ru-RU"/>
              </w:rPr>
              <w:t xml:space="preserve">Лот № </w:t>
            </w:r>
            <w:r w:rsidR="000E67DD">
              <w:rPr>
                <w:rFonts w:eastAsia="Times New Roman"/>
                <w:b/>
                <w:lang w:eastAsia="ru-RU"/>
              </w:rPr>
              <w:t>1</w:t>
            </w:r>
          </w:p>
          <w:p w:rsidR="0003736A" w:rsidRPr="00D15DD1" w:rsidRDefault="0003736A" w:rsidP="0081317C">
            <w:pPr>
              <w:pStyle w:val="Default"/>
              <w:spacing w:before="120"/>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B01AEC" w:rsidRDefault="0003736A" w:rsidP="0003736A">
            <w:pPr>
              <w:pStyle w:val="Default"/>
              <w:jc w:val="both"/>
              <w:rPr>
                <w:iCs/>
              </w:rPr>
            </w:pPr>
          </w:p>
          <w:p w:rsidR="0003736A" w:rsidRDefault="00A73739" w:rsidP="0003736A">
            <w:pPr>
              <w:pStyle w:val="Default"/>
              <w:jc w:val="both"/>
              <w:rPr>
                <w:b/>
                <w:iCs/>
              </w:rPr>
            </w:pPr>
            <w:r>
              <w:rPr>
                <w:b/>
                <w:iCs/>
              </w:rPr>
              <w:t>Лот № 2</w:t>
            </w:r>
          </w:p>
          <w:p w:rsidR="00B244C5" w:rsidRPr="0090651D" w:rsidRDefault="0003736A" w:rsidP="00BF5D6B">
            <w:pPr>
              <w:pStyle w:val="Default"/>
              <w:spacing w:before="120" w:after="120"/>
              <w:jc w:val="both"/>
              <w:rPr>
                <w:iCs/>
                <w:color w:val="auto"/>
              </w:rPr>
            </w:pPr>
            <w:r w:rsidRPr="007863D3">
              <w:rPr>
                <w:iCs/>
              </w:rPr>
              <w:t>Объекты недвижимого и</w:t>
            </w:r>
            <w:r>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w:t>
            </w:r>
            <w:r w:rsidRPr="0090651D">
              <w:rPr>
                <w:b/>
                <w:iCs/>
                <w:color w:val="auto"/>
              </w:rPr>
              <w:lastRenderedPageBreak/>
              <w:t>(величина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lastRenderedPageBreak/>
              <w:t xml:space="preserve">Лот № </w:t>
            </w:r>
            <w:r w:rsidR="00E97F06">
              <w:rPr>
                <w:rFonts w:eastAsia="Calibri"/>
                <w:b/>
              </w:rPr>
              <w:t>1</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642 874</w:t>
            </w:r>
            <w:r w:rsidR="00BC0FC7" w:rsidRPr="00DE48F5">
              <w:rPr>
                <w:rFonts w:eastAsia="Calibri"/>
              </w:rPr>
              <w:t xml:space="preserve"> </w:t>
            </w:r>
            <w:r w:rsidR="00BC0FC7" w:rsidRPr="00B64349">
              <w:rPr>
                <w:szCs w:val="28"/>
              </w:rPr>
              <w:t>(</w:t>
            </w:r>
            <w:r w:rsidR="00BC0FC7">
              <w:rPr>
                <w:szCs w:val="28"/>
              </w:rPr>
              <w:t>шестьсот сорок две тысячи восемьсот семьдесят четыре) рубля 52</w:t>
            </w:r>
            <w:r w:rsidR="00BC0FC7" w:rsidRPr="00B64349">
              <w:rPr>
                <w:szCs w:val="28"/>
              </w:rPr>
              <w:t xml:space="preserve"> копе</w:t>
            </w:r>
            <w:r w:rsidR="00BC0FC7">
              <w:rPr>
                <w:szCs w:val="28"/>
              </w:rPr>
              <w:t>йки</w:t>
            </w:r>
            <w:r w:rsidR="00BC0FC7" w:rsidRPr="00B64349">
              <w:rPr>
                <w:szCs w:val="28"/>
              </w:rPr>
              <w:t xml:space="preserve"> </w:t>
            </w:r>
            <w:r w:rsidR="00BC0FC7" w:rsidRPr="00B64349">
              <w:rPr>
                <w:rFonts w:eastAsia="Calibri"/>
              </w:rPr>
              <w:t>с учетом</w:t>
            </w:r>
            <w:r w:rsidR="00BC0FC7">
              <w:rPr>
                <w:rFonts w:eastAsia="Calibri"/>
              </w:rPr>
              <w:t xml:space="preserve"> </w:t>
            </w:r>
            <w:r w:rsidR="00BC0FC7" w:rsidRPr="00B64349">
              <w:rPr>
                <w:rFonts w:eastAsia="Calibri"/>
              </w:rPr>
              <w:t>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lastRenderedPageBreak/>
              <w:t>321 437</w:t>
            </w:r>
            <w:r w:rsidR="00BC0FC7" w:rsidRPr="00DE48F5">
              <w:rPr>
                <w:szCs w:val="28"/>
              </w:rPr>
              <w:t xml:space="preserve"> </w:t>
            </w:r>
            <w:r w:rsidR="00BC0FC7" w:rsidRPr="00B64349">
              <w:rPr>
                <w:szCs w:val="28"/>
              </w:rPr>
              <w:t>(</w:t>
            </w:r>
            <w:r w:rsidR="00BC0FC7">
              <w:rPr>
                <w:szCs w:val="28"/>
              </w:rPr>
              <w:t>триста двадцать одна тысяча четыреста тридцать семь</w:t>
            </w:r>
            <w:r w:rsidR="00BC0FC7" w:rsidRPr="00B64349">
              <w:rPr>
                <w:szCs w:val="28"/>
              </w:rPr>
              <w:t xml:space="preserve">) рублей </w:t>
            </w:r>
            <w:r w:rsidR="00BC0FC7">
              <w:rPr>
                <w:szCs w:val="28"/>
              </w:rPr>
              <w:t>26 </w:t>
            </w:r>
            <w:r w:rsidR="00BC0FC7" w:rsidRPr="00B64349">
              <w:rPr>
                <w:szCs w:val="28"/>
              </w:rPr>
              <w:t>копе</w:t>
            </w:r>
            <w:r w:rsidR="00BC0FC7">
              <w:rPr>
                <w:szCs w:val="28"/>
              </w:rPr>
              <w:t>ек</w:t>
            </w:r>
            <w:r w:rsidR="00BC0FC7" w:rsidRPr="00B64349">
              <w:rPr>
                <w:szCs w:val="28"/>
              </w:rPr>
              <w:t xml:space="preserve"> </w:t>
            </w:r>
            <w:r w:rsidR="00BC0FC7"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00A73739">
              <w:rPr>
                <w:rFonts w:eastAsia="Calibri"/>
                <w:b/>
              </w:rPr>
              <w:t>2</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с 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4 789 928</w:t>
            </w:r>
            <w:r w:rsidR="00BC0FC7" w:rsidRPr="008B67CA">
              <w:rPr>
                <w:rFonts w:eastAsia="Calibri"/>
              </w:rPr>
              <w:t xml:space="preserve"> </w:t>
            </w:r>
            <w:r w:rsidR="00BC0FC7" w:rsidRPr="008373CD">
              <w:rPr>
                <w:rFonts w:eastAsia="Calibri"/>
              </w:rPr>
              <w:t>(</w:t>
            </w:r>
            <w:r w:rsidR="00BC0FC7">
              <w:rPr>
                <w:rFonts w:eastAsia="Calibri"/>
              </w:rPr>
              <w:t>четыре миллиона семьсот восемьдесят девять тысяч девятьсот двадцать восемь</w:t>
            </w:r>
            <w:r w:rsidR="00BC0FC7" w:rsidRPr="008373CD">
              <w:rPr>
                <w:rFonts w:eastAsia="Calibri"/>
              </w:rPr>
              <w:t>) рубл</w:t>
            </w:r>
            <w:r w:rsidR="00BC0FC7">
              <w:rPr>
                <w:rFonts w:eastAsia="Calibri"/>
              </w:rPr>
              <w:t>ей</w:t>
            </w:r>
            <w:r w:rsidR="00BC0FC7" w:rsidRPr="008373CD">
              <w:rPr>
                <w:rFonts w:eastAsia="Calibri"/>
              </w:rPr>
              <w:t xml:space="preserve"> </w:t>
            </w:r>
            <w:r w:rsidR="00BC0FC7">
              <w:rPr>
                <w:rFonts w:eastAsia="Calibri"/>
              </w:rPr>
              <w:t xml:space="preserve">62 копейки </w:t>
            </w:r>
            <w:r w:rsidR="00BC0FC7" w:rsidRPr="008373CD">
              <w:rPr>
                <w:rFonts w:eastAsia="Calibri"/>
              </w:rPr>
              <w:t>с учетом НДС</w:t>
            </w:r>
            <w:r w:rsidR="0098153F">
              <w:rPr>
                <w:rFonts w:eastAsia="Calibri"/>
              </w:rPr>
              <w:t>.</w:t>
            </w:r>
          </w:p>
          <w:p w:rsidR="00AB4147" w:rsidRPr="0090651D" w:rsidRDefault="0059288F" w:rsidP="0059288F">
            <w:pPr>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EE7A17">
              <w:rPr>
                <w:rFonts w:eastAsia="Calibri"/>
                <w:i/>
              </w:rPr>
              <w:t xml:space="preserve"> </w:t>
            </w:r>
            <w:r w:rsidR="00BC0FC7">
              <w:rPr>
                <w:rFonts w:eastAsia="Calibri"/>
              </w:rPr>
              <w:t>2 394 964</w:t>
            </w:r>
            <w:r w:rsidR="00BC0FC7" w:rsidRPr="006175EC">
              <w:rPr>
                <w:rFonts w:eastAsia="Calibri"/>
              </w:rPr>
              <w:t xml:space="preserve"> </w:t>
            </w:r>
            <w:r w:rsidR="00BC0FC7" w:rsidRPr="008373CD">
              <w:rPr>
                <w:rFonts w:eastAsia="Calibri"/>
              </w:rPr>
              <w:t>(</w:t>
            </w:r>
            <w:r w:rsidR="00BC0FC7">
              <w:rPr>
                <w:rFonts w:eastAsia="Calibri"/>
              </w:rPr>
              <w:t>два миллиона триста девяносто четыре тысячи девятьсот шестьдесят четыре</w:t>
            </w:r>
            <w:r w:rsidR="00BC0FC7" w:rsidRPr="008373CD">
              <w:rPr>
                <w:rFonts w:eastAsia="Calibri"/>
              </w:rPr>
              <w:t>) рубл</w:t>
            </w:r>
            <w:r w:rsidR="00BC0FC7">
              <w:rPr>
                <w:rFonts w:eastAsia="Calibri"/>
              </w:rPr>
              <w:t>я</w:t>
            </w:r>
            <w:r w:rsidR="00BC0FC7" w:rsidRPr="003D289C">
              <w:rPr>
                <w:rFonts w:eastAsia="Calibri"/>
              </w:rPr>
              <w:t xml:space="preserve"> </w:t>
            </w:r>
            <w:r w:rsidR="00BC0FC7">
              <w:rPr>
                <w:rFonts w:eastAsia="Calibri"/>
              </w:rPr>
              <w:t>31</w:t>
            </w:r>
            <w:r w:rsidR="00BC0FC7" w:rsidRPr="008373CD">
              <w:rPr>
                <w:rFonts w:eastAsia="Calibri"/>
              </w:rPr>
              <w:t xml:space="preserve"> копе</w:t>
            </w:r>
            <w:r w:rsidR="00BC0FC7">
              <w:rPr>
                <w:rFonts w:eastAsia="Calibri"/>
              </w:rPr>
              <w:t xml:space="preserve">йка </w:t>
            </w:r>
            <w:r w:rsidR="0098153F">
              <w:rPr>
                <w:rFonts w:eastAsia="Calibri"/>
              </w:rPr>
              <w:t>с учетом НДС</w:t>
            </w:r>
            <w:r w:rsidR="00BC0FC7" w:rsidRPr="008373CD">
              <w:rPr>
                <w:rFonts w:eastAsia="Calibri"/>
              </w:rPr>
              <w:t>.</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365737" w:rsidRDefault="00E40E57" w:rsidP="00AB4147">
            <w:pPr>
              <w:autoSpaceDE w:val="0"/>
              <w:autoSpaceDN w:val="0"/>
              <w:adjustRightInd w:val="0"/>
              <w:spacing w:before="120" w:after="120" w:line="360" w:lineRule="auto"/>
              <w:jc w:val="both"/>
              <w:rPr>
                <w:rFonts w:eastAsia="Calibri"/>
              </w:rPr>
            </w:pPr>
            <w:r w:rsidRPr="00B01AEC">
              <w:rPr>
                <w:rFonts w:eastAsia="Calibri"/>
              </w:rPr>
              <w:t>2) Дата и время начала подачи (приема) Заявок</w:t>
            </w:r>
            <w:r w:rsidRPr="00365737">
              <w:rPr>
                <w:rFonts w:eastAsia="Calibri"/>
              </w:rPr>
              <w:t xml:space="preserve">: </w:t>
            </w:r>
            <w:r w:rsidR="00365737" w:rsidRPr="00365737">
              <w:rPr>
                <w:rFonts w:eastAsia="Calibri"/>
              </w:rPr>
              <w:t>29</w:t>
            </w:r>
            <w:r w:rsidR="007B1CCF" w:rsidRPr="00365737">
              <w:rPr>
                <w:rFonts w:eastAsia="Calibri"/>
              </w:rPr>
              <w:t>.0</w:t>
            </w:r>
            <w:r w:rsidR="00365737" w:rsidRPr="00365737">
              <w:rPr>
                <w:rFonts w:eastAsia="Calibri"/>
              </w:rPr>
              <w:t>9</w:t>
            </w:r>
            <w:r w:rsidR="007B1CCF" w:rsidRPr="00365737">
              <w:rPr>
                <w:rFonts w:eastAsia="Calibri"/>
              </w:rPr>
              <w:t>.2020</w:t>
            </w:r>
            <w:r w:rsidRPr="00365737">
              <w:rPr>
                <w:rFonts w:eastAsia="Calibri"/>
              </w:rPr>
              <w:t xml:space="preserve"> в 1</w:t>
            </w:r>
            <w:r w:rsidR="007B1CCF" w:rsidRPr="00365737">
              <w:rPr>
                <w:rFonts w:eastAsia="Calibri"/>
              </w:rPr>
              <w:t>2</w:t>
            </w:r>
            <w:r w:rsidRPr="00365737">
              <w:rPr>
                <w:rFonts w:eastAsia="Calibri"/>
              </w:rPr>
              <w:t>:00 (</w:t>
            </w:r>
            <w:proofErr w:type="gramStart"/>
            <w:r w:rsidRPr="00365737">
              <w:rPr>
                <w:rFonts w:eastAsia="Calibri"/>
              </w:rPr>
              <w:t>МСК</w:t>
            </w:r>
            <w:proofErr w:type="gramEnd"/>
            <w:r w:rsidRPr="00365737">
              <w:rPr>
                <w:rFonts w:eastAsia="Calibri"/>
              </w:rPr>
              <w:t>) Подача Заявок осуществляется круглосуточно.</w:t>
            </w:r>
          </w:p>
          <w:p w:rsidR="00E40E57" w:rsidRPr="00365737" w:rsidRDefault="00E40E57" w:rsidP="004265DE">
            <w:pPr>
              <w:autoSpaceDE w:val="0"/>
              <w:autoSpaceDN w:val="0"/>
              <w:adjustRightInd w:val="0"/>
              <w:spacing w:before="120" w:after="120"/>
              <w:jc w:val="both"/>
              <w:rPr>
                <w:rFonts w:eastAsia="Calibri"/>
              </w:rPr>
            </w:pPr>
            <w:r w:rsidRPr="00365737">
              <w:rPr>
                <w:rFonts w:eastAsia="Calibri"/>
              </w:rPr>
              <w:t xml:space="preserve">3) Дата и время окончания подачи (приема) Заявок: </w:t>
            </w:r>
            <w:r w:rsidR="00365737" w:rsidRPr="00365737">
              <w:rPr>
                <w:rFonts w:eastAsia="Calibri"/>
              </w:rPr>
              <w:t>30.10</w:t>
            </w:r>
            <w:r w:rsidR="007B1CCF" w:rsidRPr="00365737">
              <w:rPr>
                <w:rFonts w:eastAsia="Calibri"/>
              </w:rPr>
              <w:t>.2020</w:t>
            </w:r>
            <w:r w:rsidRPr="00365737">
              <w:rPr>
                <w:rFonts w:eastAsia="Calibri"/>
              </w:rPr>
              <w:t xml:space="preserve"> в 1</w:t>
            </w:r>
            <w:r w:rsidR="007B1CCF" w:rsidRPr="00365737">
              <w:rPr>
                <w:rFonts w:eastAsia="Calibri"/>
              </w:rPr>
              <w:t>2</w:t>
            </w:r>
            <w:r w:rsidRPr="00365737">
              <w:rPr>
                <w:rFonts w:eastAsia="Calibri"/>
              </w:rPr>
              <w:t>:00 (</w:t>
            </w:r>
            <w:proofErr w:type="gramStart"/>
            <w:r w:rsidRPr="00365737">
              <w:rPr>
                <w:rFonts w:eastAsia="Calibri"/>
              </w:rPr>
              <w:t>МСК</w:t>
            </w:r>
            <w:proofErr w:type="gramEnd"/>
            <w:r w:rsidRPr="00365737">
              <w:rPr>
                <w:rFonts w:eastAsia="Calibri"/>
              </w:rPr>
              <w:t xml:space="preserve">) </w:t>
            </w:r>
          </w:p>
          <w:p w:rsidR="00E40E57" w:rsidRPr="00365737" w:rsidRDefault="00E40E57" w:rsidP="004265DE">
            <w:pPr>
              <w:autoSpaceDE w:val="0"/>
              <w:autoSpaceDN w:val="0"/>
              <w:adjustRightInd w:val="0"/>
              <w:spacing w:before="120" w:after="120"/>
              <w:jc w:val="both"/>
              <w:rPr>
                <w:iCs/>
              </w:rPr>
            </w:pPr>
            <w:r w:rsidRPr="00365737">
              <w:rPr>
                <w:rFonts w:eastAsia="Calibri"/>
              </w:rPr>
              <w:t xml:space="preserve">4) Дата определения участников: </w:t>
            </w:r>
            <w:r w:rsidR="00365737" w:rsidRPr="00365737">
              <w:rPr>
                <w:rFonts w:eastAsia="Calibri"/>
              </w:rPr>
              <w:t>02.11</w:t>
            </w:r>
            <w:r w:rsidR="007B1CCF" w:rsidRPr="00365737">
              <w:rPr>
                <w:rFonts w:eastAsia="Calibri"/>
              </w:rPr>
              <w:t>.2020</w:t>
            </w:r>
            <w:r w:rsidRPr="00365737">
              <w:rPr>
                <w:rFonts w:eastAsia="Calibri"/>
              </w:rPr>
              <w:t xml:space="preserve"> </w:t>
            </w:r>
          </w:p>
          <w:p w:rsidR="00E40E57" w:rsidRPr="00365737" w:rsidRDefault="00E40E57" w:rsidP="001B3E78">
            <w:pPr>
              <w:autoSpaceDE w:val="0"/>
              <w:autoSpaceDN w:val="0"/>
              <w:adjustRightInd w:val="0"/>
              <w:spacing w:before="120" w:after="120"/>
              <w:jc w:val="both"/>
              <w:rPr>
                <w:iCs/>
              </w:rPr>
            </w:pPr>
            <w:r w:rsidRPr="00365737">
              <w:rPr>
                <w:rFonts w:eastAsia="Calibri"/>
              </w:rPr>
              <w:t xml:space="preserve">5) Дата и время проведения Процедуры: </w:t>
            </w:r>
            <w:r w:rsidR="00365737" w:rsidRPr="00365737">
              <w:rPr>
                <w:rFonts w:eastAsia="Calibri"/>
              </w:rPr>
              <w:t>03.11.2020</w:t>
            </w:r>
            <w:r w:rsidRPr="00365737">
              <w:rPr>
                <w:rFonts w:eastAsia="Calibri"/>
              </w:rPr>
              <w:t xml:space="preserve">в </w:t>
            </w:r>
            <w:r w:rsidR="00A73739" w:rsidRPr="00365737">
              <w:rPr>
                <w:rFonts w:eastAsia="Calibri"/>
              </w:rPr>
              <w:t>12</w:t>
            </w:r>
            <w:r w:rsidRPr="00365737">
              <w:rPr>
                <w:rFonts w:eastAsia="Calibri"/>
              </w:rPr>
              <w:t>:00 (</w:t>
            </w:r>
            <w:proofErr w:type="gramStart"/>
            <w:r w:rsidRPr="00365737">
              <w:rPr>
                <w:rFonts w:eastAsia="Calibri"/>
              </w:rPr>
              <w:t>МСК</w:t>
            </w:r>
            <w:proofErr w:type="gramEnd"/>
            <w:r w:rsidRPr="00365737">
              <w:rPr>
                <w:rFonts w:eastAsia="Calibri"/>
              </w:rPr>
              <w:t>)</w:t>
            </w:r>
          </w:p>
          <w:p w:rsidR="00E40E57" w:rsidRPr="0090651D" w:rsidRDefault="00E40E57" w:rsidP="00A51EB9">
            <w:pPr>
              <w:autoSpaceDE w:val="0"/>
              <w:autoSpaceDN w:val="0"/>
              <w:adjustRightInd w:val="0"/>
              <w:spacing w:before="120" w:after="120"/>
              <w:jc w:val="both"/>
              <w:rPr>
                <w:iCs/>
              </w:rPr>
            </w:pPr>
            <w:r w:rsidRPr="00365737">
              <w:rPr>
                <w:rFonts w:eastAsia="Calibri"/>
              </w:rPr>
              <w:t xml:space="preserve">6) Срок подведения итогов Процедуры: </w:t>
            </w:r>
            <w:r w:rsidR="005A3E74" w:rsidRPr="00365737">
              <w:rPr>
                <w:rFonts w:eastAsia="Calibri"/>
              </w:rPr>
              <w:t>03.11</w:t>
            </w:r>
            <w:r w:rsidR="007B1CCF" w:rsidRPr="00365737">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w:t>
            </w:r>
            <w:r w:rsidRPr="0090651D">
              <w:rPr>
                <w:rFonts w:eastAsiaTheme="minorHAnsi"/>
                <w:b/>
                <w:bCs/>
                <w:lang w:eastAsia="en-US"/>
              </w:rPr>
              <w:lastRenderedPageBreak/>
              <w:t>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90651D">
              <w:rPr>
                <w:rFonts w:eastAsiaTheme="minorHAnsi"/>
                <w:lang w:eastAsia="en-US"/>
              </w:rPr>
              <w:lastRenderedPageBreak/>
              <w:t xml:space="preserve">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00EB4463">
              <w:rPr>
                <w:rFonts w:eastAsiaTheme="minorHAnsi"/>
                <w:b/>
                <w:lang w:eastAsia="en-US"/>
              </w:rPr>
              <w:t>1</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006367D4">
              <w:rPr>
                <w:rFonts w:eastAsiaTheme="minorHAnsi"/>
                <w:b/>
                <w:lang w:eastAsia="en-US"/>
              </w:rPr>
              <w:t>2</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697C7C">
              <w:rPr>
                <w:rFonts w:eastAsiaTheme="minorHAnsi"/>
                <w:bCs/>
                <w:lang w:eastAsia="en-US"/>
              </w:rPr>
              <w:t xml:space="preserve">с </w:t>
            </w:r>
            <w:r w:rsidR="00365737" w:rsidRPr="00365737">
              <w:rPr>
                <w:rFonts w:eastAsiaTheme="minorHAnsi"/>
                <w:bCs/>
                <w:lang w:eastAsia="en-US"/>
              </w:rPr>
              <w:t>29</w:t>
            </w:r>
            <w:r w:rsidR="00681AD4" w:rsidRPr="00365737">
              <w:rPr>
                <w:rFonts w:eastAsiaTheme="minorHAnsi"/>
                <w:bCs/>
                <w:lang w:eastAsia="en-US"/>
              </w:rPr>
              <w:t>.0</w:t>
            </w:r>
            <w:r w:rsidR="00365737" w:rsidRPr="00365737">
              <w:rPr>
                <w:rFonts w:eastAsiaTheme="minorHAnsi"/>
                <w:bCs/>
                <w:lang w:eastAsia="en-US"/>
              </w:rPr>
              <w:t>9</w:t>
            </w:r>
            <w:r w:rsidR="00B82802" w:rsidRPr="00365737">
              <w:rPr>
                <w:rFonts w:eastAsiaTheme="minorHAnsi"/>
                <w:bCs/>
                <w:lang w:eastAsia="en-US"/>
              </w:rPr>
              <w:t>.</w:t>
            </w:r>
            <w:r w:rsidR="00681AD4" w:rsidRPr="00365737">
              <w:rPr>
                <w:rFonts w:eastAsiaTheme="minorHAnsi"/>
                <w:bCs/>
                <w:lang w:eastAsia="en-US"/>
              </w:rPr>
              <w:t>20</w:t>
            </w:r>
            <w:r w:rsidR="00C95FBA" w:rsidRPr="00365737">
              <w:rPr>
                <w:rFonts w:eastAsiaTheme="minorHAnsi"/>
                <w:bCs/>
                <w:lang w:eastAsia="en-US"/>
              </w:rPr>
              <w:t>20</w:t>
            </w:r>
            <w:r w:rsidRPr="00365737">
              <w:rPr>
                <w:rFonts w:eastAsiaTheme="minorHAnsi"/>
                <w:bCs/>
                <w:lang w:eastAsia="en-US"/>
              </w:rPr>
              <w:t xml:space="preserve"> по </w:t>
            </w:r>
            <w:r w:rsidR="00365737" w:rsidRPr="00365737">
              <w:rPr>
                <w:rFonts w:eastAsiaTheme="minorHAnsi"/>
                <w:bCs/>
                <w:lang w:eastAsia="en-US"/>
              </w:rPr>
              <w:t>30.10</w:t>
            </w:r>
            <w:r w:rsidR="00B82802" w:rsidRPr="00365737">
              <w:rPr>
                <w:rFonts w:eastAsiaTheme="minorHAnsi"/>
                <w:bCs/>
                <w:lang w:eastAsia="en-US"/>
              </w:rPr>
              <w:t>.</w:t>
            </w:r>
            <w:r w:rsidR="00681AD4" w:rsidRPr="00365737">
              <w:rPr>
                <w:rFonts w:eastAsiaTheme="minorHAnsi"/>
                <w:bCs/>
                <w:lang w:eastAsia="en-US"/>
              </w:rPr>
              <w:t>2020</w:t>
            </w:r>
            <w:r w:rsidRPr="00365737">
              <w:rPr>
                <w:rFonts w:eastAsiaTheme="minorHAnsi"/>
                <w:bCs/>
                <w:lang w:eastAsia="en-US"/>
              </w:rPr>
              <w:t>.</w:t>
            </w:r>
            <w:bookmarkStart w:id="2" w:name="_GoBack"/>
            <w:bookmarkEnd w:id="2"/>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w:t>
            </w:r>
            <w:r w:rsidRPr="00D01EE5">
              <w:rPr>
                <w:b/>
                <w:iCs/>
              </w:rPr>
              <w:lastRenderedPageBreak/>
              <w:t>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lastRenderedPageBreak/>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 xml:space="preserve">Лот № </w:t>
      </w:r>
      <w:r w:rsidR="00FC302F">
        <w:rPr>
          <w:b/>
          <w:color w:val="000000"/>
          <w:u w:val="single"/>
        </w:rPr>
        <w:t>1</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F209F7">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F209F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31АБ 206720</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206721</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206724</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206719</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206722</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206723</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8B0516" w:rsidRPr="005F7E57" w:rsidTr="00A73739">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8B0516" w:rsidRPr="005F7E57" w:rsidRDefault="008B0516" w:rsidP="00F209F7">
            <w:pPr>
              <w:jc w:val="center"/>
              <w:rPr>
                <w:bCs/>
                <w:color w:val="000000"/>
                <w:sz w:val="16"/>
                <w:szCs w:val="16"/>
              </w:rPr>
            </w:pPr>
            <w:r w:rsidRPr="005F7E57">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hideMark/>
          </w:tcPr>
          <w:p w:rsidR="008B0516" w:rsidRPr="005F7E57" w:rsidRDefault="008B0516" w:rsidP="008B0516">
            <w:pPr>
              <w:rPr>
                <w:color w:val="000000"/>
                <w:sz w:val="16"/>
                <w:szCs w:val="16"/>
              </w:rPr>
            </w:pPr>
            <w:r w:rsidRPr="005F7E57">
              <w:rPr>
                <w:color w:val="000000"/>
                <w:sz w:val="16"/>
                <w:szCs w:val="16"/>
              </w:rPr>
              <w:t>Резервуар для хранения нефтепродуктов</w:t>
            </w:r>
          </w:p>
        </w:tc>
      </w:tr>
      <w:tr w:rsidR="008B0516" w:rsidRPr="005F7E57" w:rsidTr="00A73739">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bCs/>
                <w:color w:val="000000"/>
                <w:sz w:val="16"/>
                <w:szCs w:val="16"/>
              </w:rPr>
            </w:pPr>
            <w:r w:rsidRPr="005F7E57">
              <w:rPr>
                <w:bCs/>
                <w:color w:val="000000"/>
                <w:sz w:val="16"/>
                <w:szCs w:val="16"/>
              </w:rPr>
              <w:t>Колонка топливно-раздаточная</w:t>
            </w:r>
          </w:p>
        </w:tc>
      </w:tr>
      <w:tr w:rsidR="008B0516" w:rsidRPr="005F7E57" w:rsidTr="00A73739">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C95FBA" w:rsidRDefault="00730DFA" w:rsidP="00C95FBA">
      <w:pPr>
        <w:ind w:firstLine="709"/>
        <w:jc w:val="both"/>
        <w:rPr>
          <w:color w:val="000000"/>
        </w:rPr>
      </w:pPr>
      <w:r>
        <w:rPr>
          <w:b/>
          <w:color w:val="000000"/>
          <w:u w:val="single"/>
        </w:rPr>
        <w:lastRenderedPageBreak/>
        <w:t xml:space="preserve">Лот № </w:t>
      </w:r>
      <w:r w:rsidR="006367D4">
        <w:rPr>
          <w:b/>
          <w:color w:val="000000"/>
          <w:u w:val="single"/>
        </w:rPr>
        <w:t>2</w:t>
      </w:r>
      <w:r w:rsidR="00C95FBA"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7229"/>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F209F7">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F209F7">
            <w:pPr>
              <w:jc w:val="center"/>
              <w:rPr>
                <w:bCs/>
                <w:color w:val="000000"/>
                <w:sz w:val="16"/>
                <w:szCs w:val="16"/>
              </w:rPr>
            </w:pPr>
            <w:r w:rsidRPr="005656DE">
              <w:rPr>
                <w:bCs/>
                <w:color w:val="000000"/>
                <w:sz w:val="16"/>
                <w:szCs w:val="16"/>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2</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3</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6</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7</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8</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9</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10</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11</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12</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13</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F209F7">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F209F7">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w:t>
            </w:r>
          </w:p>
        </w:tc>
        <w:tc>
          <w:tcPr>
            <w:tcW w:w="10064" w:type="dxa"/>
            <w:gridSpan w:val="3"/>
            <w:tcBorders>
              <w:top w:val="single" w:sz="4" w:space="0" w:color="auto"/>
              <w:left w:val="nil"/>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Наименование движимого имущества</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DFA" w:rsidRPr="00AC7035" w:rsidRDefault="00730DFA" w:rsidP="00F209F7">
            <w:pPr>
              <w:jc w:val="center"/>
              <w:rPr>
                <w:sz w:val="16"/>
                <w:szCs w:val="16"/>
              </w:rPr>
            </w:pPr>
            <w:r w:rsidRPr="00AC7035">
              <w:rPr>
                <w:sz w:val="16"/>
                <w:szCs w:val="16"/>
              </w:rPr>
              <w:t>1</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rsidR="00730DFA" w:rsidRPr="00AC7035" w:rsidRDefault="00730DFA" w:rsidP="00730DFA">
            <w:pPr>
              <w:rPr>
                <w:sz w:val="16"/>
                <w:szCs w:val="16"/>
              </w:rPr>
            </w:pPr>
            <w:r w:rsidRPr="00245F32">
              <w:rPr>
                <w:sz w:val="16"/>
                <w:szCs w:val="16"/>
              </w:rPr>
              <w:t>Склад цемента металлический</w:t>
            </w:r>
          </w:p>
        </w:tc>
      </w:tr>
    </w:tbl>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E529D4" w:rsidRDefault="00C95FBA" w:rsidP="00FB17A6">
      <w:pPr>
        <w:autoSpaceDE w:val="0"/>
        <w:autoSpaceDN w:val="0"/>
        <w:adjustRightInd w:val="0"/>
        <w:ind w:firstLine="709"/>
        <w:jc w:val="both"/>
        <w:rPr>
          <w:b/>
          <w:color w:val="000000"/>
          <w:u w:val="single"/>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74" w:rsidRDefault="005A3E74" w:rsidP="00016437">
      <w:r>
        <w:separator/>
      </w:r>
    </w:p>
  </w:endnote>
  <w:endnote w:type="continuationSeparator" w:id="0">
    <w:p w:rsidR="005A3E74" w:rsidRDefault="005A3E7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74" w:rsidRDefault="005A3E74" w:rsidP="00016437">
      <w:r>
        <w:separator/>
      </w:r>
    </w:p>
  </w:footnote>
  <w:footnote w:type="continuationSeparator" w:id="0">
    <w:p w:rsidR="005A3E74" w:rsidRDefault="005A3E7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74" w:rsidRPr="004638D0" w:rsidRDefault="005A3E7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74" w:rsidRPr="001B0E87" w:rsidRDefault="005A3E7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74" w:rsidRDefault="005A3E74">
    <w:pPr>
      <w:pStyle w:val="a6"/>
      <w:jc w:val="center"/>
    </w:pPr>
    <w:r>
      <w:fldChar w:fldCharType="begin"/>
    </w:r>
    <w:r>
      <w:instrText>PAGE   \* MERGEFORMAT</w:instrText>
    </w:r>
    <w:r>
      <w:fldChar w:fldCharType="separate"/>
    </w:r>
    <w:r w:rsidR="00365737">
      <w:rPr>
        <w:noProof/>
      </w:rPr>
      <w:t>35</w:t>
    </w:r>
    <w:r>
      <w:fldChar w:fldCharType="end"/>
    </w:r>
  </w:p>
  <w:p w:rsidR="005A3E74" w:rsidRDefault="005A3E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67DD"/>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56B0"/>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1A72"/>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38D0"/>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0EF7"/>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5737"/>
    <w:rsid w:val="00367070"/>
    <w:rsid w:val="0037075E"/>
    <w:rsid w:val="00374357"/>
    <w:rsid w:val="00374CB8"/>
    <w:rsid w:val="00376555"/>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342A"/>
    <w:rsid w:val="005A3E74"/>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367D4"/>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0DFA"/>
    <w:rsid w:val="00733832"/>
    <w:rsid w:val="00735547"/>
    <w:rsid w:val="00736883"/>
    <w:rsid w:val="0073734D"/>
    <w:rsid w:val="007416C1"/>
    <w:rsid w:val="0074353A"/>
    <w:rsid w:val="00744586"/>
    <w:rsid w:val="007475B8"/>
    <w:rsid w:val="00750885"/>
    <w:rsid w:val="007528C0"/>
    <w:rsid w:val="0075449C"/>
    <w:rsid w:val="00754ADF"/>
    <w:rsid w:val="007566A9"/>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2029"/>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1DC0"/>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0516"/>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5500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56F4"/>
    <w:rsid w:val="009F7B88"/>
    <w:rsid w:val="009F7F1A"/>
    <w:rsid w:val="00A00F75"/>
    <w:rsid w:val="00A0238C"/>
    <w:rsid w:val="00A0448A"/>
    <w:rsid w:val="00A048FB"/>
    <w:rsid w:val="00A05E3E"/>
    <w:rsid w:val="00A06ABC"/>
    <w:rsid w:val="00A07005"/>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1EB9"/>
    <w:rsid w:val="00A53FC5"/>
    <w:rsid w:val="00A5462C"/>
    <w:rsid w:val="00A57185"/>
    <w:rsid w:val="00A60836"/>
    <w:rsid w:val="00A62688"/>
    <w:rsid w:val="00A640AB"/>
    <w:rsid w:val="00A67626"/>
    <w:rsid w:val="00A67AE2"/>
    <w:rsid w:val="00A73739"/>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9B5"/>
    <w:rsid w:val="00BF1CAD"/>
    <w:rsid w:val="00BF3459"/>
    <w:rsid w:val="00BF372D"/>
    <w:rsid w:val="00BF3CA1"/>
    <w:rsid w:val="00BF5BF1"/>
    <w:rsid w:val="00BF5D6B"/>
    <w:rsid w:val="00BF5E77"/>
    <w:rsid w:val="00BF6C15"/>
    <w:rsid w:val="00BF7BF3"/>
    <w:rsid w:val="00C00035"/>
    <w:rsid w:val="00C0025E"/>
    <w:rsid w:val="00C005E1"/>
    <w:rsid w:val="00C0246A"/>
    <w:rsid w:val="00C03691"/>
    <w:rsid w:val="00C07852"/>
    <w:rsid w:val="00C07878"/>
    <w:rsid w:val="00C112E7"/>
    <w:rsid w:val="00C12441"/>
    <w:rsid w:val="00C150B4"/>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6F1F"/>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CF4DE6"/>
    <w:rsid w:val="00D01EE5"/>
    <w:rsid w:val="00D02F61"/>
    <w:rsid w:val="00D051CB"/>
    <w:rsid w:val="00D0548B"/>
    <w:rsid w:val="00D062B4"/>
    <w:rsid w:val="00D06BEE"/>
    <w:rsid w:val="00D07960"/>
    <w:rsid w:val="00D10C10"/>
    <w:rsid w:val="00D119CA"/>
    <w:rsid w:val="00D14FAC"/>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B5"/>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182A"/>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97F06"/>
    <w:rsid w:val="00EA1E0C"/>
    <w:rsid w:val="00EA66F4"/>
    <w:rsid w:val="00EA6C5F"/>
    <w:rsid w:val="00EB099B"/>
    <w:rsid w:val="00EB0C12"/>
    <w:rsid w:val="00EB1048"/>
    <w:rsid w:val="00EB4463"/>
    <w:rsid w:val="00EB5998"/>
    <w:rsid w:val="00EB6DC1"/>
    <w:rsid w:val="00EC1A3D"/>
    <w:rsid w:val="00EC2CAC"/>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17A6"/>
    <w:rsid w:val="00FB22F6"/>
    <w:rsid w:val="00FB5380"/>
    <w:rsid w:val="00FB5435"/>
    <w:rsid w:val="00FB614C"/>
    <w:rsid w:val="00FB7209"/>
    <w:rsid w:val="00FC1C93"/>
    <w:rsid w:val="00FC302F"/>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17F0-87BB-49FD-ACA0-6680FD8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29</Pages>
  <Words>8870</Words>
  <Characters>50564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147</cp:revision>
  <cp:lastPrinted>2018-06-25T09:28:00Z</cp:lastPrinted>
  <dcterms:created xsi:type="dcterms:W3CDTF">2020-02-04T08:28:00Z</dcterms:created>
  <dcterms:modified xsi:type="dcterms:W3CDTF">2020-09-22T06:55:00Z</dcterms:modified>
</cp:coreProperties>
</file>