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611C1">
        <w:rPr>
          <w:rFonts w:ascii="Times New Roman" w:eastAsia="Times New Roman" w:hAnsi="Times New Roman" w:cs="Times New Roman"/>
          <w:b/>
          <w:sz w:val="28"/>
          <w:szCs w:val="28"/>
        </w:rPr>
        <w:t>70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7174" w:rsidRP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6A71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61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106E" w:rsidRPr="00FB106E" w:rsidRDefault="00924957" w:rsidP="00FB106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06E" w:rsidRPr="00FB1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недвижимого имущества (земельного участка), расположенный по адресу: Российская Федерация, Алтайский край, г. Камень-на-Оби, ул. Привокзальная, дом 1а: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6635"/>
        <w:gridCol w:w="1559"/>
        <w:gridCol w:w="1557"/>
      </w:tblGrid>
      <w:tr w:rsidR="00FB106E" w:rsidRPr="00FB106E" w:rsidTr="001E054D">
        <w:trPr>
          <w:trHeight w:val="6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Площадь, протяженность, </w:t>
            </w:r>
            <w:proofErr w:type="spellStart"/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./м/</w:t>
            </w:r>
            <w:proofErr w:type="spellStart"/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м.п</w:t>
            </w:r>
            <w:proofErr w:type="spellEnd"/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№, дата свидетельства</w:t>
            </w:r>
          </w:p>
        </w:tc>
      </w:tr>
      <w:tr w:rsidR="00FB106E" w:rsidRPr="00FB106E" w:rsidTr="001E054D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E" w:rsidRPr="00FB106E" w:rsidRDefault="00FB106E" w:rsidP="00FB1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 категория земель: земли населённых пунктов, виды разрешенного использования: под промышленные предприятия, кадастровый номер: 22:68:020303:12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7 587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АБ 144038 от 07.11.2007</w:t>
            </w:r>
          </w:p>
        </w:tc>
      </w:tr>
    </w:tbl>
    <w:p w:rsidR="00FB106E" w:rsidRPr="00FB106E" w:rsidRDefault="00FB106E" w:rsidP="00FB106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06E" w:rsidRPr="00FB106E" w:rsidRDefault="00FB106E" w:rsidP="00FB106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FB106E" w:rsidRPr="00FB106E" w:rsidRDefault="00FB106E" w:rsidP="00FB10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06E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расположены объекты недвижимого имущества: здание гаража на 5 автомашин площадью 230,9 </w:t>
      </w:r>
      <w:proofErr w:type="spellStart"/>
      <w:proofErr w:type="gramStart"/>
      <w:r w:rsidRPr="00FB106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proofErr w:type="gramEnd"/>
      <w:r w:rsidRPr="00FB106E">
        <w:rPr>
          <w:rFonts w:ascii="Times New Roman" w:eastAsia="Calibri" w:hAnsi="Times New Roman" w:cs="Times New Roman"/>
          <w:sz w:val="28"/>
          <w:szCs w:val="28"/>
        </w:rPr>
        <w:t xml:space="preserve">, здание растворобетонного узла площадью 128 </w:t>
      </w:r>
      <w:proofErr w:type="spellStart"/>
      <w:r w:rsidRPr="00FB106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B106E">
        <w:rPr>
          <w:rFonts w:ascii="Times New Roman" w:eastAsia="Calibri" w:hAnsi="Times New Roman" w:cs="Times New Roman"/>
          <w:sz w:val="28"/>
          <w:szCs w:val="28"/>
        </w:rPr>
        <w:t xml:space="preserve"> и здание бытового блока площадью 285,3 </w:t>
      </w:r>
      <w:proofErr w:type="spellStart"/>
      <w:r w:rsidRPr="00FB106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B106E">
        <w:rPr>
          <w:rFonts w:ascii="Times New Roman" w:eastAsia="Calibri" w:hAnsi="Times New Roman" w:cs="Times New Roman"/>
          <w:sz w:val="28"/>
          <w:szCs w:val="28"/>
        </w:rPr>
        <w:t xml:space="preserve">, принадлежащие на праве собственности 3-му лицу. </w:t>
      </w:r>
    </w:p>
    <w:p w:rsidR="00386028" w:rsidRPr="002E5A87" w:rsidRDefault="00386028" w:rsidP="002E5A8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C74" w:rsidRPr="00AA2C0F" w:rsidRDefault="00E50C74" w:rsidP="00E50C74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7049FC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61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0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41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A567B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00 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70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70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7049FC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70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61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6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D357F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3D357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F365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04</w:t>
      </w:r>
      <w:r w:rsidR="00FA35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365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сентября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2376B5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</w:t>
      </w:r>
      <w:r w:rsidR="00AD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 w:rsidR="007F3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десять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</w:t>
      </w:r>
      <w:r w:rsidR="004A1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F3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21.07</w:t>
      </w:r>
      <w:r w:rsidR="008D1BD9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F3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04.09</w:t>
      </w:r>
      <w:bookmarkStart w:id="0" w:name="_GoBack"/>
      <w:bookmarkEnd w:id="0"/>
      <w:r w:rsidR="008D1BD9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указанное в абзаце 1 настоящего пункта, оформляется протоколом заседания Экспертной группы о допуске Претендентов к участию в Процедуре с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7(499) 260-34-32 (доб. 1142),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 (доб. 1</w:t>
      </w:r>
      <w:r w:rsidR="006A7174" w:rsidRPr="006A7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033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</w:t>
      </w:r>
      <w:r w:rsid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Татьяна Алексеевна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IlinaTA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rzdstroy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информационному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годовую бухгалтерскую (финансовую) отчетность, а именно: бухгалтерский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2D" w:rsidRDefault="00B8632D">
      <w:pPr>
        <w:spacing w:after="0" w:line="240" w:lineRule="auto"/>
      </w:pPr>
      <w:r>
        <w:separator/>
      </w:r>
    </w:p>
  </w:endnote>
  <w:endnote w:type="continuationSeparator" w:id="0">
    <w:p w:rsidR="00B8632D" w:rsidRDefault="00B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2D" w:rsidRDefault="00B8632D">
      <w:pPr>
        <w:spacing w:after="0" w:line="240" w:lineRule="auto"/>
      </w:pPr>
      <w:r>
        <w:separator/>
      </w:r>
    </w:p>
  </w:footnote>
  <w:footnote w:type="continuationSeparator" w:id="0">
    <w:p w:rsidR="00B8632D" w:rsidRDefault="00B8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A1EEB"/>
    <w:rsid w:val="001A521A"/>
    <w:rsid w:val="001A567B"/>
    <w:rsid w:val="002376B5"/>
    <w:rsid w:val="002568C1"/>
    <w:rsid w:val="002611C1"/>
    <w:rsid w:val="0027376D"/>
    <w:rsid w:val="002739CD"/>
    <w:rsid w:val="002C331F"/>
    <w:rsid w:val="002D3021"/>
    <w:rsid w:val="002E5A87"/>
    <w:rsid w:val="002F1983"/>
    <w:rsid w:val="002F4A59"/>
    <w:rsid w:val="0032745A"/>
    <w:rsid w:val="00385D5A"/>
    <w:rsid w:val="00386028"/>
    <w:rsid w:val="003A600B"/>
    <w:rsid w:val="003B4A0E"/>
    <w:rsid w:val="003C0FF6"/>
    <w:rsid w:val="003D357F"/>
    <w:rsid w:val="003D4FDB"/>
    <w:rsid w:val="003D710D"/>
    <w:rsid w:val="003F403D"/>
    <w:rsid w:val="0040677C"/>
    <w:rsid w:val="0041014A"/>
    <w:rsid w:val="00463569"/>
    <w:rsid w:val="004759F2"/>
    <w:rsid w:val="00497437"/>
    <w:rsid w:val="004A11E0"/>
    <w:rsid w:val="004A5C1C"/>
    <w:rsid w:val="004E48C4"/>
    <w:rsid w:val="004F5525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635BE1"/>
    <w:rsid w:val="00667AD7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3518"/>
    <w:rsid w:val="007F6E9A"/>
    <w:rsid w:val="00800704"/>
    <w:rsid w:val="008418C1"/>
    <w:rsid w:val="00844EC0"/>
    <w:rsid w:val="00860D89"/>
    <w:rsid w:val="00862F3B"/>
    <w:rsid w:val="00873B41"/>
    <w:rsid w:val="00883DDD"/>
    <w:rsid w:val="008A5AC8"/>
    <w:rsid w:val="008B0F27"/>
    <w:rsid w:val="008D18D0"/>
    <w:rsid w:val="008D1BD9"/>
    <w:rsid w:val="008F0B57"/>
    <w:rsid w:val="008F19C6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F4C6A"/>
    <w:rsid w:val="00B03BD1"/>
    <w:rsid w:val="00B03DB9"/>
    <w:rsid w:val="00B270C4"/>
    <w:rsid w:val="00B36A4A"/>
    <w:rsid w:val="00B716D3"/>
    <w:rsid w:val="00B8632D"/>
    <w:rsid w:val="00BA3D81"/>
    <w:rsid w:val="00BC6C90"/>
    <w:rsid w:val="00BD4FCB"/>
    <w:rsid w:val="00BD7FC1"/>
    <w:rsid w:val="00BE5324"/>
    <w:rsid w:val="00BE5976"/>
    <w:rsid w:val="00BF20FC"/>
    <w:rsid w:val="00C24C2A"/>
    <w:rsid w:val="00C35563"/>
    <w:rsid w:val="00C3683A"/>
    <w:rsid w:val="00C809F1"/>
    <w:rsid w:val="00C934F0"/>
    <w:rsid w:val="00CA00FB"/>
    <w:rsid w:val="00CB0A90"/>
    <w:rsid w:val="00CB7FF5"/>
    <w:rsid w:val="00CD3C71"/>
    <w:rsid w:val="00CF1D23"/>
    <w:rsid w:val="00D0338F"/>
    <w:rsid w:val="00D03F15"/>
    <w:rsid w:val="00D271DB"/>
    <w:rsid w:val="00D57D48"/>
    <w:rsid w:val="00D60C1D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31281"/>
    <w:rsid w:val="00F36557"/>
    <w:rsid w:val="00F379EA"/>
    <w:rsid w:val="00F510B9"/>
    <w:rsid w:val="00F6034E"/>
    <w:rsid w:val="00F74A8C"/>
    <w:rsid w:val="00F84899"/>
    <w:rsid w:val="00F85016"/>
    <w:rsid w:val="00F87BF2"/>
    <w:rsid w:val="00FA35A2"/>
    <w:rsid w:val="00FB106E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EB58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inaT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7914-71A6-4A6D-9889-9533E562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18</Pages>
  <Words>5288</Words>
  <Characters>30142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98</cp:revision>
  <dcterms:created xsi:type="dcterms:W3CDTF">2021-04-23T11:04:00Z</dcterms:created>
  <dcterms:modified xsi:type="dcterms:W3CDTF">2023-07-18T13:08:00Z</dcterms:modified>
</cp:coreProperties>
</file>