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9045F">
        <w:rPr>
          <w:rFonts w:ascii="Times New Roman" w:hAnsi="Times New Roman"/>
          <w:b/>
          <w:bCs/>
          <w:caps/>
          <w:color w:val="000000" w:themeColor="text1"/>
          <w:sz w:val="28"/>
        </w:rPr>
        <w:t>81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35EF9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</w:t>
      </w:r>
      <w:r w:rsidR="00BC582A">
        <w:rPr>
          <w:bCs/>
          <w:sz w:val="28"/>
          <w:szCs w:val="28"/>
        </w:rPr>
        <w:t>26 «марта»</w:t>
      </w:r>
      <w:bookmarkStart w:id="0" w:name="_GoBack"/>
      <w:bookmarkEnd w:id="0"/>
      <w:r w:rsidR="00BC582A">
        <w:rPr>
          <w:bCs/>
          <w:sz w:val="28"/>
          <w:szCs w:val="28"/>
        </w:rPr>
        <w:t>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1070FF" w:rsidRPr="001070FF">
        <w:rPr>
          <w:b/>
          <w:sz w:val="28"/>
          <w:szCs w:val="28"/>
        </w:rPr>
        <w:t>681Э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F37" w:rsidRDefault="000E10FD" w:rsidP="00FC407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70FF">
        <w:rPr>
          <w:rFonts w:ascii="Times New Roman" w:hAnsi="Times New Roman"/>
          <w:b/>
          <w:iCs/>
          <w:sz w:val="24"/>
          <w:szCs w:val="24"/>
        </w:rPr>
        <w:t>Лот № 1</w:t>
      </w:r>
      <w:r w:rsidR="0046675B" w:rsidRPr="001070FF">
        <w:rPr>
          <w:rFonts w:ascii="Times New Roman" w:hAnsi="Times New Roman"/>
          <w:b/>
          <w:iCs/>
          <w:sz w:val="24"/>
          <w:szCs w:val="24"/>
        </w:rPr>
        <w:t>:</w:t>
      </w:r>
      <w:r w:rsidRPr="001070FF">
        <w:rPr>
          <w:b/>
          <w:iCs/>
          <w:sz w:val="24"/>
          <w:szCs w:val="24"/>
        </w:rPr>
        <w:t xml:space="preserve"> </w:t>
      </w:r>
      <w:r w:rsidR="0086033E" w:rsidRPr="001070FF">
        <w:rPr>
          <w:rFonts w:ascii="Times New Roman" w:hAnsi="Times New Roman"/>
          <w:sz w:val="24"/>
          <w:szCs w:val="24"/>
        </w:rPr>
        <w:t>о</w:t>
      </w:r>
      <w:r w:rsidR="00A57F37" w:rsidRPr="001070FF">
        <w:rPr>
          <w:rFonts w:ascii="Times New Roman" w:hAnsi="Times New Roman"/>
          <w:sz w:val="24"/>
          <w:szCs w:val="24"/>
        </w:rPr>
        <w:t xml:space="preserve">бъекты недвижимого и неотъемлемого движимого имущества, расположенные по адресу: </w:t>
      </w:r>
      <w:r w:rsidR="00A57F37" w:rsidRPr="001070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Астраханская обл., г. Астрахань, Ленинский район, Нефтяников 1-й </w:t>
      </w:r>
      <w:proofErr w:type="spellStart"/>
      <w:r w:rsidR="00A57F37" w:rsidRPr="001070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</w:t>
      </w:r>
      <w:proofErr w:type="spellEnd"/>
      <w:r w:rsidR="00A57F37" w:rsidRPr="001070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-д ул., 70:</w:t>
      </w:r>
    </w:p>
    <w:p w:rsidR="006E4C36" w:rsidRPr="001070FF" w:rsidRDefault="006E4C36" w:rsidP="00FC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4644"/>
        <w:gridCol w:w="1277"/>
        <w:gridCol w:w="3967"/>
      </w:tblGrid>
      <w:tr w:rsidR="00A57F37" w:rsidRPr="001070FF" w:rsidTr="0086033E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1070FF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0F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6E4C36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6E4C36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6E4C36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A57F37" w:rsidRPr="001070FF" w:rsidTr="0086033E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Электросети, инвентарный номер: 12:401:001:003261920:0012, литер </w:t>
            </w:r>
            <w:r w:rsidRPr="006E4C36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VIII</w:t>
            </w: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520,00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129774 от 15.01.2007</w:t>
            </w:r>
          </w:p>
        </w:tc>
      </w:tr>
      <w:tr w:rsidR="00A57F37" w:rsidRPr="001070FF" w:rsidTr="0086033E">
        <w:trPr>
          <w:trHeight w:val="3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</w:t>
            </w:r>
            <w:proofErr w:type="gramEnd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637,50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130098 от 30.01.2007</w:t>
            </w:r>
          </w:p>
        </w:tc>
      </w:tr>
      <w:tr w:rsidR="00A57F37" w:rsidRPr="001070FF" w:rsidTr="0086033E">
        <w:trPr>
          <w:trHeight w:val="3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107,00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129772 от 15.01.2007</w:t>
            </w:r>
          </w:p>
        </w:tc>
      </w:tr>
      <w:tr w:rsidR="00A57F37" w:rsidRPr="001070FF" w:rsidTr="0086033E">
        <w:trPr>
          <w:trHeight w:val="5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118,50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122432 от 12.12.2006</w:t>
            </w:r>
          </w:p>
        </w:tc>
      </w:tr>
      <w:tr w:rsidR="00A57F37" w:rsidRPr="001070FF" w:rsidTr="0086033E">
        <w:trPr>
          <w:trHeight w:val="4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</w:t>
            </w:r>
            <w:proofErr w:type="gramEnd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765,80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129765 от 15.01.2007</w:t>
            </w:r>
          </w:p>
        </w:tc>
      </w:tr>
      <w:tr w:rsidR="00A57F37" w:rsidRPr="001070FF" w:rsidTr="0086033E">
        <w:trPr>
          <w:trHeight w:val="38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</w:t>
            </w:r>
            <w:proofErr w:type="gramEnd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84,30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129768 от 15.01.2007</w:t>
            </w:r>
          </w:p>
        </w:tc>
      </w:tr>
      <w:tr w:rsidR="00A57F37" w:rsidRPr="001070FF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Б</w:t>
            </w:r>
            <w:proofErr w:type="gramEnd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624,00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129771 от 15.01.2007</w:t>
            </w:r>
          </w:p>
        </w:tc>
      </w:tr>
      <w:tr w:rsidR="00A57F37" w:rsidRPr="001070FF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69,90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130052от 22.01.2007</w:t>
            </w:r>
          </w:p>
        </w:tc>
      </w:tr>
      <w:tr w:rsidR="00A57F37" w:rsidRPr="001070FF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Ж</w:t>
            </w:r>
            <w:proofErr w:type="gramEnd"/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73,70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129767 от 15.01.2007</w:t>
            </w:r>
          </w:p>
        </w:tc>
      </w:tr>
      <w:tr w:rsidR="00A57F37" w:rsidRPr="001070FF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Сети связи, инвентарный номер: 12:401:001:003261920:0011, литер </w:t>
            </w:r>
            <w:r w:rsidRPr="006E4C36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IX</w:t>
            </w: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70,00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 АА 129769 от 15.01.2007</w:t>
            </w:r>
          </w:p>
        </w:tc>
      </w:tr>
      <w:tr w:rsidR="00A57F37" w:rsidRPr="001070FF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407CF3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Благоустройство верхнего покрытия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2 790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6E4C36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A57F37" w:rsidRPr="001070FF" w:rsidTr="0086033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F37" w:rsidRPr="00407CF3" w:rsidRDefault="0086033E" w:rsidP="008603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407CF3">
              <w:rPr>
                <w:rFonts w:ascii="Times New Roman" w:hAnsi="Times New Roman"/>
                <w:b/>
                <w:sz w:val="16"/>
                <w:szCs w:val="16"/>
              </w:rPr>
              <w:t>НЕОТЪЕМЛЕМОЕ ИМУЩЕСТВО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5B1" w:rsidRPr="006E4C36" w:rsidRDefault="001365B1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металлического ограждения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Железобетонный забор протяженностью 84 м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Туалет площадью 2,4 </w:t>
            </w:r>
            <w:proofErr w:type="spellStart"/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A57F37" w:rsidRPr="001070FF" w:rsidTr="0086033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F37" w:rsidRPr="00407CF3" w:rsidRDefault="0086033E" w:rsidP="008603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6B2214" w:rsidRPr="001070FF" w:rsidTr="006B2214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214" w:rsidRPr="00407CF3" w:rsidRDefault="006B2214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214" w:rsidRPr="006E4C36" w:rsidRDefault="006B2214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>Распределительный пункт ПР-24 ,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 xml:space="preserve">Распределительный пункт ПР-31 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 xml:space="preserve">Охранно-пожарная сигнализация 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 xml:space="preserve">Устройство видеонаблюдения 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>Инструментально-раздаточная мастерская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>Станок деревоперерабатывающий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>Станок</w:t>
            </w:r>
            <w:proofErr w:type="gramStart"/>
            <w:r w:rsidRPr="006E4C36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6E4C36">
              <w:rPr>
                <w:rFonts w:ascii="Times New Roman" w:hAnsi="Times New Roman"/>
                <w:sz w:val="16"/>
                <w:szCs w:val="16"/>
              </w:rPr>
              <w:t xml:space="preserve"> 26-254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Станок токарный винторезный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sz w:val="16"/>
                <w:szCs w:val="16"/>
              </w:rPr>
              <w:t>Станок ФСМ 2863</w:t>
            </w:r>
          </w:p>
        </w:tc>
      </w:tr>
      <w:tr w:rsidR="001365B1" w:rsidRPr="001070FF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407CF3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7CF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6E4C36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Станок шлифовальный</w:t>
            </w:r>
          </w:p>
        </w:tc>
      </w:tr>
    </w:tbl>
    <w:p w:rsidR="006B2214" w:rsidRPr="001070FF" w:rsidRDefault="006B2214" w:rsidP="00604DF7">
      <w:pPr>
        <w:pStyle w:val="ConsPlusNormal"/>
        <w:tabs>
          <w:tab w:val="left" w:pos="1134"/>
        </w:tabs>
        <w:ind w:firstLine="709"/>
        <w:jc w:val="both"/>
      </w:pPr>
    </w:p>
    <w:p w:rsidR="00D202BC" w:rsidRPr="001070FF" w:rsidRDefault="00D202BC" w:rsidP="00604DF7">
      <w:pPr>
        <w:pStyle w:val="ConsPlusNormal"/>
        <w:tabs>
          <w:tab w:val="left" w:pos="1134"/>
        </w:tabs>
        <w:ind w:firstLine="709"/>
        <w:jc w:val="both"/>
      </w:pPr>
      <w:r w:rsidRPr="001070FF">
        <w:t>Существующие ограничения (обременения) права: не зарегистрировано.</w:t>
      </w:r>
    </w:p>
    <w:p w:rsidR="005875B6" w:rsidRPr="001070FF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043" w:rsidRPr="001070FF" w:rsidRDefault="00017043" w:rsidP="00B639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0FF">
        <w:rPr>
          <w:rFonts w:ascii="Times New Roman" w:hAnsi="Times New Roman"/>
          <w:sz w:val="24"/>
          <w:szCs w:val="24"/>
        </w:rPr>
        <w:t xml:space="preserve">Объекты расположены на земельном участке площадью 18 839 </w:t>
      </w:r>
      <w:proofErr w:type="spellStart"/>
      <w:r w:rsidR="00A033AB" w:rsidRPr="001070FF">
        <w:rPr>
          <w:rFonts w:ascii="Times New Roman" w:hAnsi="Times New Roman"/>
          <w:sz w:val="24"/>
          <w:szCs w:val="24"/>
        </w:rPr>
        <w:t>кв</w:t>
      </w:r>
      <w:proofErr w:type="gramStart"/>
      <w:r w:rsidR="00A033AB" w:rsidRPr="001070FF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A033AB" w:rsidRPr="001070FF">
        <w:rPr>
          <w:rFonts w:ascii="Times New Roman" w:hAnsi="Times New Roman"/>
          <w:sz w:val="24"/>
          <w:szCs w:val="24"/>
        </w:rPr>
        <w:t xml:space="preserve"> </w:t>
      </w:r>
      <w:r w:rsidRPr="001070FF">
        <w:rPr>
          <w:rFonts w:ascii="Times New Roman" w:hAnsi="Times New Roman"/>
          <w:sz w:val="24"/>
          <w:szCs w:val="24"/>
        </w:rPr>
        <w:t>по адресу (имеющем адресные ориентиры):</w:t>
      </w:r>
      <w:r w:rsidRPr="001070F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033AB" w:rsidRPr="001070FF">
        <w:rPr>
          <w:rFonts w:ascii="Times New Roman" w:hAnsi="Times New Roman"/>
          <w:sz w:val="24"/>
          <w:szCs w:val="24"/>
        </w:rPr>
        <w:t>Астраханская обл., г. Астрахань, р-н Ленинский, полоса отвода ж/д</w:t>
      </w:r>
      <w:r w:rsidRPr="001070FF">
        <w:rPr>
          <w:rFonts w:ascii="Times New Roman" w:hAnsi="Times New Roman"/>
          <w:sz w:val="24"/>
          <w:szCs w:val="24"/>
        </w:rPr>
        <w:t xml:space="preserve"> (далее – Участок), являюще</w:t>
      </w:r>
      <w:r w:rsidR="00A033AB" w:rsidRPr="001070FF">
        <w:rPr>
          <w:rFonts w:ascii="Times New Roman" w:hAnsi="Times New Roman"/>
          <w:sz w:val="24"/>
          <w:szCs w:val="24"/>
        </w:rPr>
        <w:t>гося</w:t>
      </w:r>
      <w:r w:rsidRPr="001070FF">
        <w:rPr>
          <w:rFonts w:ascii="Times New Roman" w:hAnsi="Times New Roman"/>
          <w:sz w:val="24"/>
          <w:szCs w:val="24"/>
        </w:rPr>
        <w:t xml:space="preserve"> частью земельного участка с кадастровым номером  </w:t>
      </w:r>
      <w:r w:rsidR="00A033AB" w:rsidRPr="001070FF">
        <w:rPr>
          <w:rFonts w:ascii="Times New Roman" w:hAnsi="Times New Roman"/>
          <w:sz w:val="24"/>
          <w:szCs w:val="24"/>
        </w:rPr>
        <w:t>30:12:000000:128</w:t>
      </w:r>
      <w:r w:rsidRPr="001070FF">
        <w:rPr>
          <w:rFonts w:ascii="Times New Roman" w:hAnsi="Times New Roman"/>
          <w:sz w:val="24"/>
          <w:szCs w:val="24"/>
        </w:rPr>
        <w:t xml:space="preserve">, общей площадью </w:t>
      </w:r>
      <w:r w:rsidR="00A033AB" w:rsidRPr="001070FF">
        <w:rPr>
          <w:rFonts w:ascii="Times New Roman" w:hAnsi="Times New Roman"/>
          <w:sz w:val="24"/>
          <w:szCs w:val="24"/>
        </w:rPr>
        <w:t xml:space="preserve">2 723 622 </w:t>
      </w:r>
      <w:proofErr w:type="spellStart"/>
      <w:r w:rsidRPr="001070FF">
        <w:rPr>
          <w:rFonts w:ascii="Times New Roman" w:hAnsi="Times New Roman"/>
          <w:sz w:val="24"/>
          <w:szCs w:val="24"/>
        </w:rPr>
        <w:t>кв</w:t>
      </w:r>
      <w:proofErr w:type="gramStart"/>
      <w:r w:rsidRPr="001070FF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070FF">
        <w:rPr>
          <w:rFonts w:ascii="Times New Roman" w:hAnsi="Times New Roman"/>
          <w:sz w:val="24"/>
          <w:szCs w:val="24"/>
        </w:rPr>
        <w:t xml:space="preserve">, </w:t>
      </w:r>
      <w:r w:rsidR="00B639D1" w:rsidRPr="001070FF">
        <w:rPr>
          <w:rFonts w:ascii="Times New Roman" w:hAnsi="Times New Roman"/>
          <w:sz w:val="24"/>
          <w:szCs w:val="24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  <w:r w:rsidRPr="001070FF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B639D1" w:rsidRPr="001070FF">
        <w:rPr>
          <w:rFonts w:ascii="Times New Roman" w:hAnsi="Times New Roman"/>
          <w:sz w:val="24"/>
          <w:szCs w:val="24"/>
        </w:rPr>
        <w:t xml:space="preserve">30:12:000000:128 </w:t>
      </w:r>
      <w:r w:rsidRPr="001070FF">
        <w:rPr>
          <w:rFonts w:ascii="Times New Roman" w:hAnsi="Times New Roman"/>
          <w:sz w:val="24"/>
          <w:szCs w:val="24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="00B639D1" w:rsidRPr="001070FF">
        <w:rPr>
          <w:rFonts w:ascii="Times New Roman" w:hAnsi="Times New Roman"/>
          <w:sz w:val="24"/>
          <w:szCs w:val="24"/>
        </w:rPr>
        <w:t xml:space="preserve">Приволжской </w:t>
      </w:r>
      <w:r w:rsidRPr="001070FF">
        <w:rPr>
          <w:rFonts w:ascii="Times New Roman" w:hAnsi="Times New Roman"/>
          <w:sz w:val="24"/>
          <w:szCs w:val="24"/>
        </w:rPr>
        <w:t xml:space="preserve">железной дороги–филиала ОАО «РЖД». Право пользования Продавца частью земельного участка осуществляется на </w:t>
      </w:r>
      <w:proofErr w:type="gramStart"/>
      <w:r w:rsidRPr="001070FF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1070FF">
        <w:rPr>
          <w:rFonts w:ascii="Times New Roman" w:hAnsi="Times New Roman"/>
          <w:sz w:val="24"/>
          <w:szCs w:val="24"/>
        </w:rPr>
        <w:t xml:space="preserve"> договора субаренды с ОАО «РЖД».</w:t>
      </w:r>
    </w:p>
    <w:p w:rsidR="00017043" w:rsidRPr="001070FF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70FF">
        <w:rPr>
          <w:rFonts w:ascii="Times New Roman" w:hAnsi="Times New Roman"/>
          <w:sz w:val="24"/>
          <w:szCs w:val="24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17043" w:rsidRPr="001070FF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70FF">
        <w:rPr>
          <w:rFonts w:ascii="Times New Roman" w:hAnsi="Times New Roman"/>
          <w:sz w:val="24"/>
          <w:szCs w:val="24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639D1" w:rsidRPr="001070FF" w:rsidRDefault="00B639D1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70FF">
        <w:rPr>
          <w:rFonts w:ascii="Times New Roman" w:hAnsi="Times New Roman"/>
          <w:sz w:val="24"/>
          <w:szCs w:val="24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865566" w:rsidRPr="001070FF" w:rsidRDefault="00865566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02BC" w:rsidRDefault="00D202BC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70FF">
        <w:rPr>
          <w:rFonts w:ascii="Times New Roman" w:hAnsi="Times New Roman"/>
          <w:b/>
          <w:iCs/>
          <w:sz w:val="24"/>
          <w:szCs w:val="24"/>
        </w:rPr>
        <w:t xml:space="preserve">Лот № 2: </w:t>
      </w:r>
      <w:r w:rsidR="00A00D51" w:rsidRPr="001070FF">
        <w:rPr>
          <w:rFonts w:ascii="Times New Roman" w:hAnsi="Times New Roman"/>
          <w:iCs/>
          <w:sz w:val="24"/>
          <w:szCs w:val="24"/>
        </w:rPr>
        <w:t>объекты недвижимого и неотъемлемого движимого имущества, расположенные по адресу: Российская Федерации, Свердловская область, г. Екатеринбург, пер. Трамвайный, д. 10:</w:t>
      </w:r>
    </w:p>
    <w:p w:rsidR="001070FF" w:rsidRPr="001070FF" w:rsidRDefault="001070FF" w:rsidP="00FC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753"/>
        <w:gridCol w:w="5433"/>
        <w:gridCol w:w="1127"/>
        <w:gridCol w:w="2696"/>
      </w:tblGrid>
      <w:tr w:rsidR="00A00D51" w:rsidRPr="006E4C36" w:rsidTr="00181FD8">
        <w:trPr>
          <w:trHeight w:val="834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00D51" w:rsidRPr="006E4C36" w:rsidTr="00181FD8">
        <w:trPr>
          <w:trHeight w:val="488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422333 от 04.10.2006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422331 от 04.10.2006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422327 от 04.10.2006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18.09.2019 № 99/2019/284652219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422328 от 04.10.2006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422118 от 05.10.2006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422220 от 04.10.2006</w:t>
            </w:r>
          </w:p>
        </w:tc>
      </w:tr>
      <w:tr w:rsidR="00A00D51" w:rsidRPr="006E4C36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АВ 438702 от 03.11.2006</w:t>
            </w:r>
          </w:p>
        </w:tc>
      </w:tr>
      <w:tr w:rsidR="00A00D51" w:rsidRPr="006E4C36" w:rsidTr="00FC4077">
        <w:trPr>
          <w:trHeight w:val="1134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6E4C36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420293 от 23.11.2006</w:t>
            </w:r>
          </w:p>
        </w:tc>
      </w:tr>
      <w:tr w:rsidR="00A00D51" w:rsidRPr="001070FF" w:rsidTr="00FC4077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D51" w:rsidRPr="006E4C36" w:rsidRDefault="00FC4077" w:rsidP="00FC40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1070FF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6E4C36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7837A0" w:rsidRPr="001070FF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</w:rPr>
      </w:pPr>
    </w:p>
    <w:p w:rsidR="007837A0" w:rsidRPr="001070FF" w:rsidRDefault="007837A0" w:rsidP="00604DF7">
      <w:pPr>
        <w:pStyle w:val="ConsPlusNormal"/>
        <w:tabs>
          <w:tab w:val="left" w:pos="1134"/>
        </w:tabs>
        <w:ind w:firstLine="709"/>
        <w:jc w:val="both"/>
      </w:pPr>
      <w:r w:rsidRPr="001070FF">
        <w:t>Существующие ограничения (обременения) права: не зарегистрировано.</w:t>
      </w:r>
    </w:p>
    <w:p w:rsidR="00D31B7E" w:rsidRPr="001070FF" w:rsidRDefault="00D31B7E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830" w:rsidRPr="001070FF" w:rsidRDefault="00D31B7E" w:rsidP="00604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0FF">
        <w:rPr>
          <w:rFonts w:ascii="Times New Roman" w:hAnsi="Times New Roman"/>
          <w:sz w:val="24"/>
          <w:szCs w:val="24"/>
        </w:rPr>
        <w:t>Объекты</w:t>
      </w:r>
      <w:r w:rsidR="00B4123C" w:rsidRPr="001070FF">
        <w:rPr>
          <w:rFonts w:ascii="Times New Roman" w:hAnsi="Times New Roman"/>
          <w:sz w:val="24"/>
          <w:szCs w:val="24"/>
        </w:rPr>
        <w:t xml:space="preserve"> </w:t>
      </w:r>
      <w:r w:rsidRPr="001070FF">
        <w:rPr>
          <w:rFonts w:ascii="Times New Roman" w:hAnsi="Times New Roman"/>
          <w:sz w:val="24"/>
          <w:szCs w:val="24"/>
        </w:rPr>
        <w:t>расположены на земельном участке</w:t>
      </w:r>
      <w:r w:rsidR="00E26830" w:rsidRPr="001070F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1070FF">
        <w:rPr>
          <w:rFonts w:ascii="Times New Roman" w:hAnsi="Times New Roman"/>
          <w:sz w:val="24"/>
          <w:szCs w:val="24"/>
        </w:rPr>
        <w:t xml:space="preserve"> </w:t>
      </w:r>
      <w:r w:rsidR="00E26830" w:rsidRPr="001070FF">
        <w:rPr>
          <w:rFonts w:ascii="Times New Roman" w:hAnsi="Times New Roman"/>
          <w:sz w:val="24"/>
          <w:szCs w:val="24"/>
        </w:rPr>
        <w:t xml:space="preserve">66:41:0205019:6 общей </w:t>
      </w:r>
      <w:r w:rsidRPr="001070FF">
        <w:rPr>
          <w:rFonts w:ascii="Times New Roman" w:hAnsi="Times New Roman"/>
          <w:sz w:val="24"/>
          <w:szCs w:val="24"/>
        </w:rPr>
        <w:t xml:space="preserve">площадью </w:t>
      </w:r>
      <w:r w:rsidR="00B379A0" w:rsidRPr="001070FF">
        <w:rPr>
          <w:rFonts w:ascii="Times New Roman" w:hAnsi="Times New Roman"/>
          <w:sz w:val="24"/>
          <w:szCs w:val="24"/>
        </w:rPr>
        <w:t xml:space="preserve">1462,5 </w:t>
      </w:r>
      <w:proofErr w:type="spellStart"/>
      <w:r w:rsidRPr="001070FF">
        <w:rPr>
          <w:rFonts w:ascii="Times New Roman" w:hAnsi="Times New Roman"/>
          <w:sz w:val="24"/>
          <w:szCs w:val="24"/>
        </w:rPr>
        <w:t>кв</w:t>
      </w:r>
      <w:proofErr w:type="gramStart"/>
      <w:r w:rsidRPr="001070FF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070FF">
        <w:rPr>
          <w:rFonts w:ascii="Times New Roman" w:hAnsi="Times New Roman"/>
          <w:sz w:val="24"/>
          <w:szCs w:val="24"/>
        </w:rPr>
        <w:t xml:space="preserve"> по адресу (имеющем адресные ориентиры):</w:t>
      </w:r>
      <w:r w:rsidR="00B4123C" w:rsidRPr="001070F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6830" w:rsidRPr="001070FF">
        <w:rPr>
          <w:rFonts w:ascii="Times New Roman" w:hAnsi="Times New Roman"/>
          <w:sz w:val="24"/>
          <w:szCs w:val="24"/>
        </w:rPr>
        <w:t xml:space="preserve">г. Екатеринбург, пер. Трамвайный, д.10 </w:t>
      </w:r>
      <w:r w:rsidRPr="001070FF">
        <w:rPr>
          <w:rFonts w:ascii="Times New Roman" w:hAnsi="Times New Roman"/>
          <w:sz w:val="24"/>
          <w:szCs w:val="24"/>
        </w:rPr>
        <w:t xml:space="preserve">(далее – Участок), </w:t>
      </w:r>
      <w:r w:rsidR="00B379A0" w:rsidRPr="001070FF">
        <w:rPr>
          <w:rFonts w:ascii="Times New Roman" w:hAnsi="Times New Roman"/>
          <w:sz w:val="24"/>
          <w:szCs w:val="24"/>
        </w:rPr>
        <w:t>который находится в собственности АО «</w:t>
      </w:r>
      <w:proofErr w:type="spellStart"/>
      <w:r w:rsidR="00B379A0" w:rsidRPr="001070FF">
        <w:rPr>
          <w:rFonts w:ascii="Times New Roman" w:hAnsi="Times New Roman"/>
          <w:sz w:val="24"/>
          <w:szCs w:val="24"/>
        </w:rPr>
        <w:t>РЖДстрой</w:t>
      </w:r>
      <w:proofErr w:type="spellEnd"/>
      <w:r w:rsidR="00B379A0" w:rsidRPr="001070FF">
        <w:rPr>
          <w:rFonts w:ascii="Times New Roman" w:hAnsi="Times New Roman"/>
          <w:sz w:val="24"/>
          <w:szCs w:val="24"/>
        </w:rPr>
        <w:t xml:space="preserve">». </w:t>
      </w:r>
      <w:r w:rsidR="00E26830" w:rsidRPr="001070FF">
        <w:rPr>
          <w:rFonts w:ascii="Times New Roman" w:hAnsi="Times New Roman"/>
          <w:sz w:val="24"/>
          <w:szCs w:val="24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003106" w:rsidRPr="001070FF" w:rsidRDefault="00D63092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0FF">
        <w:rPr>
          <w:rFonts w:ascii="Times New Roman" w:hAnsi="Times New Roman"/>
          <w:bCs/>
          <w:sz w:val="24"/>
          <w:szCs w:val="24"/>
        </w:rPr>
        <w:t xml:space="preserve">Общежитие располагается на 3-м </w:t>
      </w:r>
      <w:proofErr w:type="gramStart"/>
      <w:r w:rsidRPr="001070FF">
        <w:rPr>
          <w:rFonts w:ascii="Times New Roman" w:hAnsi="Times New Roman"/>
          <w:bCs/>
          <w:sz w:val="24"/>
          <w:szCs w:val="24"/>
        </w:rPr>
        <w:t>этаже</w:t>
      </w:r>
      <w:proofErr w:type="gramEnd"/>
      <w:r w:rsidRPr="001070FF">
        <w:rPr>
          <w:rFonts w:ascii="Times New Roman" w:hAnsi="Times New Roman"/>
          <w:bCs/>
          <w:sz w:val="24"/>
          <w:szCs w:val="24"/>
        </w:rPr>
        <w:t xml:space="preserve"> здания. В жилых помещениях №№ 301, 302, 305, 307, 308, 311 проживает 22 человека, из них 4</w:t>
      </w:r>
      <w:r w:rsidR="00466103" w:rsidRPr="001070FF">
        <w:rPr>
          <w:rFonts w:ascii="Times New Roman" w:hAnsi="Times New Roman"/>
          <w:bCs/>
          <w:sz w:val="24"/>
          <w:szCs w:val="24"/>
        </w:rPr>
        <w:t> </w:t>
      </w:r>
      <w:r w:rsidRPr="001070FF">
        <w:rPr>
          <w:rFonts w:ascii="Times New Roman" w:hAnsi="Times New Roman"/>
          <w:bCs/>
          <w:sz w:val="24"/>
          <w:szCs w:val="24"/>
        </w:rPr>
        <w:t>несовершеннолетних. Помещения №№ 303, 304, 306, 309 и 310 свободны.</w:t>
      </w:r>
      <w:r w:rsidR="00003106" w:rsidRPr="001070FF">
        <w:rPr>
          <w:rFonts w:ascii="Times New Roman" w:hAnsi="Times New Roman"/>
          <w:bCs/>
          <w:sz w:val="24"/>
          <w:szCs w:val="24"/>
        </w:rPr>
        <w:t xml:space="preserve"> </w:t>
      </w:r>
    </w:p>
    <w:p w:rsidR="00B379A0" w:rsidRPr="001070FF" w:rsidRDefault="00003106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0FF">
        <w:rPr>
          <w:rFonts w:ascii="Times New Roman" w:hAnsi="Times New Roman"/>
          <w:bCs/>
          <w:sz w:val="24"/>
          <w:szCs w:val="24"/>
        </w:rPr>
        <w:t xml:space="preserve">На 1-м этаже находится помещение площадью 30,8 </w:t>
      </w:r>
      <w:proofErr w:type="spellStart"/>
      <w:r w:rsidRPr="001070FF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1070FF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Pr="001070FF">
        <w:rPr>
          <w:rFonts w:ascii="Times New Roman" w:hAnsi="Times New Roman"/>
          <w:bCs/>
          <w:sz w:val="24"/>
          <w:szCs w:val="24"/>
        </w:rPr>
        <w:t>, находящееся в собственности 3-х лиц.</w:t>
      </w:r>
    </w:p>
    <w:p w:rsidR="0038097C" w:rsidRDefault="002E7864" w:rsidP="00097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0FF">
        <w:rPr>
          <w:rFonts w:ascii="Times New Roman" w:hAnsi="Times New Roman"/>
          <w:bCs/>
          <w:sz w:val="24"/>
          <w:szCs w:val="24"/>
        </w:rPr>
        <w:t xml:space="preserve">Срок передачи имущества по заключаемому по итогам торгов договору купли-продажи составляет 2 (два) месяца </w:t>
      </w:r>
      <w:proofErr w:type="gramStart"/>
      <w:r w:rsidRPr="001070FF">
        <w:rPr>
          <w:rFonts w:ascii="Times New Roman" w:hAnsi="Times New Roman"/>
          <w:bCs/>
          <w:sz w:val="24"/>
          <w:szCs w:val="24"/>
        </w:rPr>
        <w:t>с даты внесения</w:t>
      </w:r>
      <w:proofErr w:type="gramEnd"/>
      <w:r w:rsidRPr="001070FF">
        <w:rPr>
          <w:rFonts w:ascii="Times New Roman" w:hAnsi="Times New Roman"/>
          <w:bCs/>
          <w:sz w:val="24"/>
          <w:szCs w:val="24"/>
        </w:rPr>
        <w:t xml:space="preserve"> покупателем оплаты по договору в полном объеме.</w:t>
      </w:r>
    </w:p>
    <w:p w:rsidR="00797B9D" w:rsidRPr="001070FF" w:rsidRDefault="00797B9D" w:rsidP="00097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675B" w:rsidRPr="00797B9D" w:rsidRDefault="00BE33B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97B9D">
        <w:rPr>
          <w:sz w:val="28"/>
          <w:szCs w:val="28"/>
        </w:rPr>
        <w:t xml:space="preserve"> </w:t>
      </w:r>
      <w:r w:rsidR="00E928A5" w:rsidRPr="00797B9D">
        <w:rPr>
          <w:sz w:val="28"/>
          <w:szCs w:val="28"/>
        </w:rPr>
        <w:t>Начальная цена продажи</w:t>
      </w:r>
      <w:r w:rsidR="00FF5E38" w:rsidRPr="00797B9D">
        <w:rPr>
          <w:sz w:val="28"/>
          <w:szCs w:val="28"/>
        </w:rPr>
        <w:t xml:space="preserve"> Объектов</w:t>
      </w:r>
      <w:r w:rsidR="00E928A5" w:rsidRPr="00797B9D">
        <w:rPr>
          <w:sz w:val="28"/>
          <w:szCs w:val="28"/>
        </w:rPr>
        <w:t xml:space="preserve"> имущества на </w:t>
      </w:r>
      <w:proofErr w:type="gramStart"/>
      <w:r w:rsidR="00E928A5" w:rsidRPr="00797B9D">
        <w:rPr>
          <w:sz w:val="28"/>
          <w:szCs w:val="28"/>
        </w:rPr>
        <w:t>Аукционе</w:t>
      </w:r>
      <w:proofErr w:type="gramEnd"/>
      <w:r w:rsidR="00E928A5" w:rsidRPr="00797B9D">
        <w:rPr>
          <w:sz w:val="28"/>
          <w:szCs w:val="28"/>
        </w:rPr>
        <w:t xml:space="preserve"> (далее - Начальная цена) составляет: </w:t>
      </w:r>
    </w:p>
    <w:p w:rsidR="00013521" w:rsidRPr="00797B9D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B9D">
        <w:rPr>
          <w:b/>
          <w:color w:val="000000" w:themeColor="text1"/>
          <w:sz w:val="28"/>
          <w:szCs w:val="28"/>
        </w:rPr>
        <w:t>по лоту № 1:</w:t>
      </w:r>
      <w:r w:rsidRPr="00797B9D">
        <w:rPr>
          <w:sz w:val="28"/>
          <w:szCs w:val="28"/>
        </w:rPr>
        <w:t xml:space="preserve"> </w:t>
      </w:r>
      <w:r w:rsidR="00A91485" w:rsidRPr="00797B9D">
        <w:rPr>
          <w:sz w:val="28"/>
          <w:szCs w:val="28"/>
        </w:rPr>
        <w:t>27 005 144,81 (двадцать семь миллионов пять тысяч сто сорок четыре рубля 81 копейка)</w:t>
      </w:r>
      <w:r w:rsidR="00013521" w:rsidRPr="00797B9D">
        <w:rPr>
          <w:sz w:val="28"/>
          <w:szCs w:val="28"/>
        </w:rPr>
        <w:t xml:space="preserve"> с учетом НДС 20%.</w:t>
      </w:r>
    </w:p>
    <w:p w:rsidR="00466103" w:rsidRPr="00797B9D" w:rsidRDefault="0046675B" w:rsidP="00D803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B9D">
        <w:rPr>
          <w:b/>
          <w:sz w:val="28"/>
          <w:szCs w:val="28"/>
        </w:rPr>
        <w:t xml:space="preserve">по лоту № 2: </w:t>
      </w:r>
      <w:r w:rsidR="00A91485" w:rsidRPr="00797B9D">
        <w:rPr>
          <w:bCs/>
          <w:sz w:val="28"/>
          <w:szCs w:val="28"/>
        </w:rPr>
        <w:t>50 137</w:t>
      </w:r>
      <w:r w:rsidR="002C5BD1" w:rsidRPr="00797B9D">
        <w:rPr>
          <w:bCs/>
          <w:sz w:val="28"/>
          <w:szCs w:val="28"/>
        </w:rPr>
        <w:t> </w:t>
      </w:r>
      <w:r w:rsidR="00A91485" w:rsidRPr="00797B9D">
        <w:rPr>
          <w:bCs/>
          <w:sz w:val="28"/>
          <w:szCs w:val="28"/>
        </w:rPr>
        <w:t>982</w:t>
      </w:r>
      <w:r w:rsidR="002C5BD1" w:rsidRPr="00797B9D">
        <w:rPr>
          <w:bCs/>
          <w:sz w:val="28"/>
          <w:szCs w:val="28"/>
        </w:rPr>
        <w:t>,39</w:t>
      </w:r>
      <w:r w:rsidR="00A91485" w:rsidRPr="00797B9D">
        <w:rPr>
          <w:bCs/>
          <w:sz w:val="28"/>
          <w:szCs w:val="28"/>
        </w:rPr>
        <w:t xml:space="preserve"> (пятьдесят миллионов сто тридцать семь тысяч девятьсот восемьдесят два рубля 39 копеек) </w:t>
      </w:r>
      <w:r w:rsidR="000656B9" w:rsidRPr="00797B9D">
        <w:rPr>
          <w:bCs/>
          <w:sz w:val="28"/>
          <w:szCs w:val="28"/>
        </w:rPr>
        <w:t>с учетом НДС 20%.</w:t>
      </w:r>
    </w:p>
    <w:p w:rsidR="0046675B" w:rsidRPr="00797B9D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B9D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797B9D">
        <w:rPr>
          <w:sz w:val="28"/>
          <w:szCs w:val="28"/>
        </w:rPr>
        <w:t>а(</w:t>
      </w:r>
      <w:proofErr w:type="spellStart"/>
      <w:proofErr w:type="gramEnd"/>
      <w:r w:rsidRPr="00797B9D">
        <w:rPr>
          <w:sz w:val="28"/>
          <w:szCs w:val="28"/>
        </w:rPr>
        <w:t>ов</w:t>
      </w:r>
      <w:proofErr w:type="spellEnd"/>
      <w:r w:rsidRPr="00797B9D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797B9D">
        <w:rPr>
          <w:sz w:val="28"/>
          <w:szCs w:val="28"/>
        </w:rPr>
        <w:t xml:space="preserve">5 </w:t>
      </w:r>
      <w:r w:rsidR="0046675B" w:rsidRPr="00797B9D">
        <w:rPr>
          <w:color w:val="000000"/>
          <w:sz w:val="28"/>
          <w:szCs w:val="28"/>
        </w:rPr>
        <w:t>% от Начальной цены.</w:t>
      </w:r>
    </w:p>
    <w:p w:rsidR="00E928A5" w:rsidRPr="00797B9D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B9D">
        <w:rPr>
          <w:sz w:val="28"/>
          <w:szCs w:val="28"/>
        </w:rPr>
        <w:t xml:space="preserve"> </w:t>
      </w:r>
      <w:r w:rsidR="00E928A5" w:rsidRPr="00797B9D">
        <w:rPr>
          <w:sz w:val="28"/>
          <w:szCs w:val="28"/>
        </w:rPr>
        <w:t>Победителем Аукциона признается лицо</w:t>
      </w:r>
      <w:r w:rsidR="00F51E60" w:rsidRPr="00797B9D">
        <w:rPr>
          <w:sz w:val="28"/>
          <w:szCs w:val="28"/>
        </w:rPr>
        <w:t>,</w:t>
      </w:r>
      <w:r w:rsidR="00E928A5" w:rsidRPr="00797B9D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797B9D">
        <w:rPr>
          <w:sz w:val="28"/>
          <w:szCs w:val="28"/>
        </w:rPr>
        <w:t>а(</w:t>
      </w:r>
      <w:proofErr w:type="spellStart"/>
      <w:proofErr w:type="gramEnd"/>
      <w:r w:rsidR="00E928A5" w:rsidRPr="00797B9D">
        <w:rPr>
          <w:sz w:val="28"/>
          <w:szCs w:val="28"/>
        </w:rPr>
        <w:t>ов</w:t>
      </w:r>
      <w:proofErr w:type="spellEnd"/>
      <w:r w:rsidR="00E928A5" w:rsidRPr="00797B9D">
        <w:rPr>
          <w:sz w:val="28"/>
          <w:szCs w:val="28"/>
        </w:rPr>
        <w:t>) имущества (далее - Предложение о цене).</w:t>
      </w:r>
    </w:p>
    <w:p w:rsidR="00E928A5" w:rsidRPr="00797B9D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8339C5" w:rsidRDefault="00E928A5" w:rsidP="008339C5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8339C5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B27DC4" w:rsidRPr="00B27DC4">
        <w:rPr>
          <w:b/>
          <w:sz w:val="28"/>
          <w:szCs w:val="28"/>
        </w:rPr>
        <w:t>06</w:t>
      </w:r>
      <w:r w:rsidRPr="00B27DC4">
        <w:rPr>
          <w:b/>
          <w:sz w:val="28"/>
          <w:szCs w:val="28"/>
        </w:rPr>
        <w:t>»</w:t>
      </w:r>
      <w:r w:rsidR="002733E4" w:rsidRPr="00B27DC4">
        <w:rPr>
          <w:b/>
          <w:sz w:val="28"/>
          <w:szCs w:val="28"/>
        </w:rPr>
        <w:t xml:space="preserve"> </w:t>
      </w:r>
      <w:r w:rsidR="00B27DC4" w:rsidRPr="00B27DC4">
        <w:rPr>
          <w:b/>
          <w:sz w:val="28"/>
          <w:szCs w:val="28"/>
        </w:rPr>
        <w:t>мая</w:t>
      </w:r>
      <w:r w:rsidR="002733E4" w:rsidRPr="00B27DC4">
        <w:rPr>
          <w:b/>
          <w:sz w:val="28"/>
          <w:szCs w:val="28"/>
        </w:rPr>
        <w:t xml:space="preserve"> </w:t>
      </w:r>
      <w:r w:rsidRPr="00B27DC4">
        <w:rPr>
          <w:b/>
          <w:sz w:val="28"/>
          <w:szCs w:val="28"/>
        </w:rPr>
        <w:t>20</w:t>
      </w:r>
      <w:r w:rsidR="002733E4" w:rsidRPr="00B27DC4">
        <w:rPr>
          <w:b/>
          <w:sz w:val="28"/>
          <w:szCs w:val="28"/>
        </w:rPr>
        <w:t>21</w:t>
      </w:r>
      <w:r w:rsidRPr="00B27DC4">
        <w:rPr>
          <w:b/>
          <w:sz w:val="28"/>
          <w:szCs w:val="28"/>
        </w:rPr>
        <w:t xml:space="preserve"> г. в </w:t>
      </w:r>
      <w:r w:rsidR="00C74E24" w:rsidRPr="00B27DC4">
        <w:rPr>
          <w:b/>
          <w:sz w:val="28"/>
          <w:szCs w:val="28"/>
        </w:rPr>
        <w:t>12</w:t>
      </w:r>
      <w:r w:rsidR="002733E4" w:rsidRPr="00B27DC4">
        <w:rPr>
          <w:b/>
          <w:sz w:val="28"/>
          <w:szCs w:val="28"/>
        </w:rPr>
        <w:t xml:space="preserve"> </w:t>
      </w:r>
      <w:r w:rsidRPr="00B27DC4">
        <w:rPr>
          <w:b/>
          <w:sz w:val="28"/>
          <w:szCs w:val="28"/>
        </w:rPr>
        <w:t>часов</w:t>
      </w:r>
      <w:r w:rsidR="002733E4" w:rsidRPr="00B27DC4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C00180">
        <w:rPr>
          <w:bCs/>
          <w:sz w:val="28"/>
          <w:szCs w:val="28"/>
        </w:rPr>
        <w:t xml:space="preserve">ООО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877EFB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77EFB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77EFB">
        <w:rPr>
          <w:b/>
          <w:sz w:val="28"/>
          <w:szCs w:val="28"/>
        </w:rPr>
        <w:t>«</w:t>
      </w:r>
      <w:r w:rsidR="00B27DC4" w:rsidRPr="00877EFB">
        <w:rPr>
          <w:b/>
          <w:sz w:val="28"/>
          <w:szCs w:val="28"/>
        </w:rPr>
        <w:t>31</w:t>
      </w:r>
      <w:r w:rsidRPr="00877EFB">
        <w:rPr>
          <w:b/>
          <w:sz w:val="28"/>
          <w:szCs w:val="28"/>
        </w:rPr>
        <w:t>»</w:t>
      </w:r>
      <w:r w:rsidR="002733E4" w:rsidRPr="00877EFB">
        <w:rPr>
          <w:b/>
          <w:sz w:val="28"/>
          <w:szCs w:val="28"/>
        </w:rPr>
        <w:t xml:space="preserve"> </w:t>
      </w:r>
      <w:r w:rsidR="00877EFB" w:rsidRPr="00877EFB">
        <w:rPr>
          <w:b/>
          <w:sz w:val="28"/>
          <w:szCs w:val="28"/>
        </w:rPr>
        <w:t>марта</w:t>
      </w:r>
      <w:r w:rsidR="006F71DD" w:rsidRPr="00877EFB">
        <w:rPr>
          <w:b/>
          <w:sz w:val="28"/>
          <w:szCs w:val="28"/>
        </w:rPr>
        <w:t xml:space="preserve"> 2021</w:t>
      </w:r>
      <w:r w:rsidRPr="00877EFB">
        <w:rPr>
          <w:b/>
          <w:sz w:val="28"/>
          <w:szCs w:val="28"/>
        </w:rPr>
        <w:t xml:space="preserve"> г. </w:t>
      </w:r>
    </w:p>
    <w:p w:rsidR="00966C2A" w:rsidRDefault="00E928A5" w:rsidP="0013023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74E24" w:rsidRDefault="0013023F" w:rsidP="0013023F">
      <w:pPr>
        <w:pStyle w:val="ConsPlusNormal"/>
        <w:tabs>
          <w:tab w:val="left" w:pos="1134"/>
        </w:tabs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ab/>
        <w:t xml:space="preserve">2.1.4. </w:t>
      </w:r>
      <w:r w:rsidR="00E928A5" w:rsidRPr="00877EFB">
        <w:rPr>
          <w:sz w:val="28"/>
          <w:szCs w:val="28"/>
        </w:rPr>
        <w:t>Дата и время окончания приема Заявок:</w:t>
      </w:r>
      <w:r w:rsidR="00E928A5" w:rsidRPr="00877EFB">
        <w:rPr>
          <w:b/>
          <w:sz w:val="28"/>
          <w:szCs w:val="28"/>
        </w:rPr>
        <w:t xml:space="preserve"> «</w:t>
      </w:r>
      <w:r w:rsidR="00877EFB" w:rsidRPr="00877EFB">
        <w:rPr>
          <w:b/>
          <w:sz w:val="28"/>
          <w:szCs w:val="28"/>
        </w:rPr>
        <w:t>04</w:t>
      </w:r>
      <w:r w:rsidR="00E928A5" w:rsidRPr="00877EFB">
        <w:rPr>
          <w:b/>
          <w:sz w:val="28"/>
          <w:szCs w:val="28"/>
        </w:rPr>
        <w:t>»</w:t>
      </w:r>
      <w:r w:rsidR="00877EFB" w:rsidRPr="00877EFB">
        <w:rPr>
          <w:b/>
          <w:sz w:val="28"/>
          <w:szCs w:val="28"/>
        </w:rPr>
        <w:t xml:space="preserve"> мая</w:t>
      </w:r>
      <w:r w:rsidR="006F71DD" w:rsidRPr="00877EFB">
        <w:rPr>
          <w:b/>
          <w:sz w:val="28"/>
          <w:szCs w:val="28"/>
        </w:rPr>
        <w:t xml:space="preserve"> </w:t>
      </w:r>
      <w:r w:rsidR="00E928A5" w:rsidRPr="00877EFB">
        <w:rPr>
          <w:b/>
          <w:sz w:val="28"/>
          <w:szCs w:val="28"/>
        </w:rPr>
        <w:t>20</w:t>
      </w:r>
      <w:r w:rsidR="00CE24AA" w:rsidRPr="00877EFB">
        <w:rPr>
          <w:b/>
          <w:sz w:val="28"/>
          <w:szCs w:val="28"/>
        </w:rPr>
        <w:t>21</w:t>
      </w:r>
      <w:r w:rsidR="00E928A5" w:rsidRPr="00877EFB">
        <w:rPr>
          <w:b/>
          <w:sz w:val="28"/>
          <w:szCs w:val="28"/>
        </w:rPr>
        <w:t xml:space="preserve"> г. в </w:t>
      </w:r>
      <w:r w:rsidR="00CE24AA" w:rsidRPr="00877EFB">
        <w:rPr>
          <w:b/>
          <w:sz w:val="28"/>
          <w:szCs w:val="28"/>
        </w:rPr>
        <w:t>12 часов 00</w:t>
      </w:r>
      <w:r w:rsidR="00E928A5" w:rsidRPr="00877EFB">
        <w:rPr>
          <w:b/>
          <w:sz w:val="28"/>
          <w:szCs w:val="28"/>
        </w:rPr>
        <w:t xml:space="preserve"> минут по московскому времени</w:t>
      </w:r>
      <w:r w:rsidR="00E928A5" w:rsidRPr="00877EFB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A7659F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9752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31</w:t>
      </w:r>
      <w:r w:rsidR="006C235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9752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6C235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0E4007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9752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04</w:t>
      </w:r>
      <w:r w:rsidR="006C235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D9752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6C2350" w:rsidRPr="00A7659F">
        <w:rPr>
          <w:rFonts w:ascii="Times New Roman" w:eastAsiaTheme="minorHAnsi" w:hAnsi="Times New Roman"/>
          <w:b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 xml:space="preserve">ах) имущества также </w:t>
      </w:r>
      <w:r w:rsidRPr="00C1540E">
        <w:rPr>
          <w:sz w:val="28"/>
          <w:szCs w:val="28"/>
        </w:rPr>
        <w:lastRenderedPageBreak/>
        <w:t>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</w:t>
      </w:r>
      <w:r w:rsidR="005F51D0" w:rsidRPr="00C1540E">
        <w:rPr>
          <w:sz w:val="28"/>
          <w:szCs w:val="28"/>
        </w:rPr>
        <w:lastRenderedPageBreak/>
        <w:t>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</w:t>
      </w:r>
      <w:proofErr w:type="gramStart"/>
      <w:r w:rsidR="00E928A5" w:rsidRPr="00C1540E">
        <w:rPr>
          <w:sz w:val="28"/>
          <w:szCs w:val="28"/>
        </w:rPr>
        <w:t>сайте</w:t>
      </w:r>
      <w:proofErr w:type="gramEnd"/>
      <w:r w:rsidR="00E928A5" w:rsidRPr="00C1540E">
        <w:rPr>
          <w:sz w:val="28"/>
          <w:szCs w:val="28"/>
        </w:rPr>
        <w:t xml:space="preserve">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в течение 10 минут после представления последнего Предложения о </w:t>
      </w:r>
      <w:r w:rsidRPr="00C1540E">
        <w:rPr>
          <w:sz w:val="28"/>
          <w:szCs w:val="28"/>
        </w:rPr>
        <w:lastRenderedPageBreak/>
        <w:t>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lastRenderedPageBreak/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94" w:rsidRDefault="00884E94" w:rsidP="00C20FDA">
      <w:pPr>
        <w:spacing w:after="0" w:line="240" w:lineRule="auto"/>
      </w:pPr>
      <w:r>
        <w:separator/>
      </w:r>
    </w:p>
  </w:endnote>
  <w:endnote w:type="continuationSeparator" w:id="0">
    <w:p w:rsidR="00884E94" w:rsidRDefault="00884E9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C4" w:rsidRDefault="00B27D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94" w:rsidRDefault="00884E94" w:rsidP="00C20FDA">
      <w:pPr>
        <w:spacing w:after="0" w:line="240" w:lineRule="auto"/>
      </w:pPr>
      <w:r>
        <w:separator/>
      </w:r>
    </w:p>
  </w:footnote>
  <w:footnote w:type="continuationSeparator" w:id="0">
    <w:p w:rsidR="00884E94" w:rsidRDefault="00884E9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C4" w:rsidRPr="004638D0" w:rsidRDefault="00B27DC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C4" w:rsidRPr="001B0E87" w:rsidRDefault="00B27DC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C4" w:rsidRPr="009C17C6" w:rsidRDefault="00B27DC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27DC4" w:rsidRDefault="00B27DC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54B50"/>
    <w:rsid w:val="000656B9"/>
    <w:rsid w:val="000739DB"/>
    <w:rsid w:val="00073C1A"/>
    <w:rsid w:val="00090E37"/>
    <w:rsid w:val="000949E7"/>
    <w:rsid w:val="000969D4"/>
    <w:rsid w:val="0009773C"/>
    <w:rsid w:val="000A49AA"/>
    <w:rsid w:val="000E0D16"/>
    <w:rsid w:val="000E10FD"/>
    <w:rsid w:val="000E4007"/>
    <w:rsid w:val="000E505D"/>
    <w:rsid w:val="000F6510"/>
    <w:rsid w:val="00102617"/>
    <w:rsid w:val="001070FF"/>
    <w:rsid w:val="00112CFF"/>
    <w:rsid w:val="00125033"/>
    <w:rsid w:val="0013023F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864"/>
    <w:rsid w:val="002E7A19"/>
    <w:rsid w:val="00316BB2"/>
    <w:rsid w:val="0032393D"/>
    <w:rsid w:val="003256D2"/>
    <w:rsid w:val="0034030C"/>
    <w:rsid w:val="00366F66"/>
    <w:rsid w:val="003732FF"/>
    <w:rsid w:val="0038097C"/>
    <w:rsid w:val="003A0260"/>
    <w:rsid w:val="003C7EC0"/>
    <w:rsid w:val="003D1FC5"/>
    <w:rsid w:val="00407CF3"/>
    <w:rsid w:val="004165C2"/>
    <w:rsid w:val="00436735"/>
    <w:rsid w:val="00444E5A"/>
    <w:rsid w:val="00447373"/>
    <w:rsid w:val="004501BA"/>
    <w:rsid w:val="004510A2"/>
    <w:rsid w:val="00456F25"/>
    <w:rsid w:val="00466103"/>
    <w:rsid w:val="0046675B"/>
    <w:rsid w:val="00473AF9"/>
    <w:rsid w:val="00474DFD"/>
    <w:rsid w:val="00486B99"/>
    <w:rsid w:val="004A471C"/>
    <w:rsid w:val="004C4AC5"/>
    <w:rsid w:val="0052507D"/>
    <w:rsid w:val="00542FA9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B2214"/>
    <w:rsid w:val="006C2350"/>
    <w:rsid w:val="006C705B"/>
    <w:rsid w:val="006D26E3"/>
    <w:rsid w:val="006E2C5C"/>
    <w:rsid w:val="006E385F"/>
    <w:rsid w:val="006E4C36"/>
    <w:rsid w:val="006F71DD"/>
    <w:rsid w:val="00700CBB"/>
    <w:rsid w:val="00730B1A"/>
    <w:rsid w:val="00737D4E"/>
    <w:rsid w:val="00764FA4"/>
    <w:rsid w:val="00771B9E"/>
    <w:rsid w:val="007837A0"/>
    <w:rsid w:val="007875C2"/>
    <w:rsid w:val="00797B9D"/>
    <w:rsid w:val="007A4622"/>
    <w:rsid w:val="007D2A35"/>
    <w:rsid w:val="007E4D74"/>
    <w:rsid w:val="007E6219"/>
    <w:rsid w:val="007F6562"/>
    <w:rsid w:val="00813FF5"/>
    <w:rsid w:val="008339C5"/>
    <w:rsid w:val="0083685D"/>
    <w:rsid w:val="008429CD"/>
    <w:rsid w:val="0084313E"/>
    <w:rsid w:val="0085246F"/>
    <w:rsid w:val="00853AF3"/>
    <w:rsid w:val="0086033E"/>
    <w:rsid w:val="00860DA1"/>
    <w:rsid w:val="00865566"/>
    <w:rsid w:val="00870234"/>
    <w:rsid w:val="00877EFB"/>
    <w:rsid w:val="00884E94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233B4"/>
    <w:rsid w:val="00923F91"/>
    <w:rsid w:val="009273EF"/>
    <w:rsid w:val="00930822"/>
    <w:rsid w:val="00941EFF"/>
    <w:rsid w:val="009535BB"/>
    <w:rsid w:val="00966C2A"/>
    <w:rsid w:val="009700BE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F37"/>
    <w:rsid w:val="00A6431F"/>
    <w:rsid w:val="00A7659F"/>
    <w:rsid w:val="00A77CBB"/>
    <w:rsid w:val="00A854E7"/>
    <w:rsid w:val="00A9045F"/>
    <w:rsid w:val="00A91485"/>
    <w:rsid w:val="00AB222F"/>
    <w:rsid w:val="00AB371B"/>
    <w:rsid w:val="00AC5907"/>
    <w:rsid w:val="00B00901"/>
    <w:rsid w:val="00B04563"/>
    <w:rsid w:val="00B27DC4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C2A10"/>
    <w:rsid w:val="00BC582A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74E24"/>
    <w:rsid w:val="00C85911"/>
    <w:rsid w:val="00C97B8C"/>
    <w:rsid w:val="00CB65C0"/>
    <w:rsid w:val="00CC482B"/>
    <w:rsid w:val="00CE24AA"/>
    <w:rsid w:val="00D202BC"/>
    <w:rsid w:val="00D31B7E"/>
    <w:rsid w:val="00D33653"/>
    <w:rsid w:val="00D63092"/>
    <w:rsid w:val="00D67333"/>
    <w:rsid w:val="00D67E1F"/>
    <w:rsid w:val="00D70125"/>
    <w:rsid w:val="00D803BF"/>
    <w:rsid w:val="00D81A51"/>
    <w:rsid w:val="00D86893"/>
    <w:rsid w:val="00D86E2B"/>
    <w:rsid w:val="00D906BA"/>
    <w:rsid w:val="00D97520"/>
    <w:rsid w:val="00DA60BF"/>
    <w:rsid w:val="00DB599A"/>
    <w:rsid w:val="00DC6A74"/>
    <w:rsid w:val="00DD0FAE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21</Pages>
  <Words>6192</Words>
  <Characters>35295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85</cp:revision>
  <dcterms:created xsi:type="dcterms:W3CDTF">2020-10-12T06:28:00Z</dcterms:created>
  <dcterms:modified xsi:type="dcterms:W3CDTF">2021-03-26T12:21:00Z</dcterms:modified>
</cp:coreProperties>
</file>