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C07D5A">
        <w:rPr>
          <w:rFonts w:ascii="Times New Roman" w:hAnsi="Times New Roman"/>
          <w:b/>
          <w:bCs/>
          <w:caps/>
          <w:color w:val="000000" w:themeColor="text1"/>
          <w:sz w:val="28"/>
        </w:rPr>
        <w:t>83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A5D4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6B4CC4">
        <w:rPr>
          <w:bCs/>
          <w:sz w:val="28"/>
          <w:szCs w:val="28"/>
        </w:rPr>
        <w:t xml:space="preserve">«  </w:t>
      </w:r>
      <w:proofErr w:type="gramEnd"/>
      <w:r w:rsidRPr="006B4CC4">
        <w:rPr>
          <w:bCs/>
          <w:sz w:val="28"/>
          <w:szCs w:val="28"/>
        </w:rPr>
        <w:t xml:space="preserve">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1A5D4D">
        <w:rPr>
          <w:bCs/>
          <w:sz w:val="28"/>
          <w:szCs w:val="28"/>
        </w:rPr>
        <w:t>3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10</w:t>
      </w:r>
      <w:r w:rsidR="00CD423E">
        <w:rPr>
          <w:sz w:val="28"/>
          <w:szCs w:val="28"/>
        </w:rPr>
        <w:t>83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БП50и(А3)-4,3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м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9F08E3" w:rsidRDefault="004F5211" w:rsidP="009F08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167C8">
        <w:rPr>
          <w:b/>
          <w:sz w:val="28"/>
          <w:szCs w:val="28"/>
          <w:u w:val="single"/>
        </w:rPr>
        <w:t>по лоту № 1</w:t>
      </w:r>
      <w:r w:rsidRPr="001167C8">
        <w:rPr>
          <w:b/>
          <w:sz w:val="28"/>
          <w:szCs w:val="28"/>
        </w:rPr>
        <w:t xml:space="preserve">: </w:t>
      </w:r>
      <w:r w:rsidR="009F08E3">
        <w:rPr>
          <w:sz w:val="28"/>
          <w:szCs w:val="28"/>
        </w:rPr>
        <w:t>30 396 869,21 (тридцать миллионов триста девяносто шесть тысяч восемьсот шестьдесят девять) рублей 21 копейка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4307">
        <w:rPr>
          <w:sz w:val="28"/>
          <w:szCs w:val="28"/>
        </w:rPr>
        <w:t xml:space="preserve">Аукцион будет проводиться </w:t>
      </w:r>
      <w:r w:rsidRPr="00C14307">
        <w:rPr>
          <w:b/>
          <w:sz w:val="28"/>
          <w:szCs w:val="28"/>
        </w:rPr>
        <w:t>«</w:t>
      </w:r>
      <w:r w:rsidR="00460894">
        <w:rPr>
          <w:b/>
          <w:sz w:val="28"/>
          <w:szCs w:val="28"/>
        </w:rPr>
        <w:t>28</w:t>
      </w:r>
      <w:r w:rsidR="005866CD" w:rsidRPr="00C14307">
        <w:rPr>
          <w:b/>
          <w:sz w:val="28"/>
          <w:szCs w:val="28"/>
        </w:rPr>
        <w:t>»</w:t>
      </w:r>
      <w:r w:rsidR="00447811" w:rsidRPr="00C14307">
        <w:rPr>
          <w:b/>
          <w:sz w:val="28"/>
          <w:szCs w:val="28"/>
        </w:rPr>
        <w:t xml:space="preserve"> </w:t>
      </w:r>
      <w:r w:rsidR="00460894">
        <w:rPr>
          <w:b/>
          <w:sz w:val="28"/>
          <w:szCs w:val="28"/>
        </w:rPr>
        <w:t>сентября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23</w:t>
      </w:r>
      <w:r w:rsidR="00EB44C0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 xml:space="preserve">г. в </w:t>
      </w:r>
      <w:r w:rsidR="00447811" w:rsidRPr="00C14307">
        <w:rPr>
          <w:b/>
          <w:sz w:val="28"/>
          <w:szCs w:val="28"/>
        </w:rPr>
        <w:t>09</w:t>
      </w:r>
      <w:r w:rsidRPr="00C14307">
        <w:rPr>
          <w:b/>
          <w:sz w:val="28"/>
          <w:szCs w:val="28"/>
        </w:rPr>
        <w:t xml:space="preserve"> часов </w:t>
      </w:r>
      <w:r w:rsidR="00447811" w:rsidRPr="00C14307">
        <w:rPr>
          <w:b/>
          <w:sz w:val="28"/>
          <w:szCs w:val="28"/>
        </w:rPr>
        <w:t>00</w:t>
      </w:r>
      <w:r w:rsidRPr="00C14307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4781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14307">
        <w:rPr>
          <w:b/>
          <w:sz w:val="28"/>
          <w:szCs w:val="28"/>
        </w:rPr>
        <w:t>«</w:t>
      </w:r>
      <w:r w:rsidR="00777FA7">
        <w:rPr>
          <w:b/>
          <w:sz w:val="28"/>
          <w:szCs w:val="28"/>
        </w:rPr>
        <w:t>21</w:t>
      </w:r>
      <w:r w:rsidR="00447811" w:rsidRPr="00C14307">
        <w:rPr>
          <w:b/>
          <w:sz w:val="28"/>
          <w:szCs w:val="28"/>
        </w:rPr>
        <w:t xml:space="preserve">» </w:t>
      </w:r>
      <w:r w:rsidR="00777FA7">
        <w:rPr>
          <w:b/>
          <w:sz w:val="28"/>
          <w:szCs w:val="28"/>
        </w:rPr>
        <w:t>августа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</w:t>
      </w:r>
      <w:r w:rsidR="00EB44C0" w:rsidRPr="00C14307">
        <w:rPr>
          <w:b/>
          <w:sz w:val="28"/>
          <w:szCs w:val="28"/>
        </w:rPr>
        <w:t>3</w:t>
      </w:r>
      <w:r w:rsidRPr="00C14307">
        <w:rPr>
          <w:b/>
          <w:sz w:val="28"/>
          <w:szCs w:val="28"/>
        </w:rPr>
        <w:t xml:space="preserve"> г. </w:t>
      </w:r>
    </w:p>
    <w:p w:rsidR="00E928A5" w:rsidRPr="00447811" w:rsidRDefault="00FD2BE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065FF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65FF7">
        <w:rPr>
          <w:sz w:val="28"/>
          <w:szCs w:val="28"/>
        </w:rPr>
        <w:t xml:space="preserve">Дата и время окончания приема Заявок: </w:t>
      </w:r>
      <w:r w:rsidRPr="00065FF7">
        <w:rPr>
          <w:b/>
          <w:sz w:val="28"/>
          <w:szCs w:val="28"/>
        </w:rPr>
        <w:t>«</w:t>
      </w:r>
      <w:r w:rsidR="00DD71B5">
        <w:rPr>
          <w:b/>
          <w:sz w:val="28"/>
          <w:szCs w:val="28"/>
        </w:rPr>
        <w:t>26</w:t>
      </w:r>
      <w:r w:rsidR="00447811" w:rsidRPr="00065FF7">
        <w:rPr>
          <w:b/>
          <w:sz w:val="28"/>
          <w:szCs w:val="28"/>
        </w:rPr>
        <w:t xml:space="preserve">» </w:t>
      </w:r>
      <w:r w:rsidR="00DD71B5">
        <w:rPr>
          <w:b/>
          <w:sz w:val="28"/>
          <w:szCs w:val="28"/>
        </w:rPr>
        <w:t>сентября</w:t>
      </w:r>
      <w:r w:rsidR="00447811" w:rsidRPr="00065FF7">
        <w:rPr>
          <w:b/>
          <w:sz w:val="28"/>
          <w:szCs w:val="28"/>
        </w:rPr>
        <w:t xml:space="preserve"> 2</w:t>
      </w:r>
      <w:r w:rsidRPr="00065FF7">
        <w:rPr>
          <w:b/>
          <w:sz w:val="28"/>
          <w:szCs w:val="28"/>
        </w:rPr>
        <w:t>0</w:t>
      </w:r>
      <w:r w:rsidR="00447811" w:rsidRPr="00065FF7">
        <w:rPr>
          <w:b/>
          <w:sz w:val="28"/>
          <w:szCs w:val="28"/>
        </w:rPr>
        <w:t>23</w:t>
      </w:r>
      <w:r w:rsidR="00EB44C0" w:rsidRPr="00065FF7">
        <w:rPr>
          <w:b/>
          <w:sz w:val="28"/>
          <w:szCs w:val="28"/>
        </w:rPr>
        <w:t xml:space="preserve"> </w:t>
      </w:r>
      <w:r w:rsidRPr="00065FF7">
        <w:rPr>
          <w:b/>
          <w:sz w:val="28"/>
          <w:szCs w:val="28"/>
        </w:rPr>
        <w:t xml:space="preserve">г. в </w:t>
      </w:r>
      <w:r w:rsidR="00677F87" w:rsidRPr="00065FF7">
        <w:rPr>
          <w:b/>
          <w:sz w:val="28"/>
          <w:szCs w:val="28"/>
        </w:rPr>
        <w:t>12</w:t>
      </w:r>
      <w:r w:rsidRPr="00065FF7">
        <w:rPr>
          <w:b/>
          <w:sz w:val="28"/>
          <w:szCs w:val="28"/>
        </w:rPr>
        <w:t xml:space="preserve"> часов </w:t>
      </w:r>
      <w:r w:rsidR="00447811" w:rsidRPr="00065FF7">
        <w:rPr>
          <w:b/>
          <w:sz w:val="28"/>
          <w:szCs w:val="28"/>
        </w:rPr>
        <w:t>00</w:t>
      </w:r>
      <w:r w:rsidRPr="00065FF7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145CB6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5CB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73B88">
        <w:rPr>
          <w:rFonts w:eastAsiaTheme="minorHAnsi"/>
          <w:b/>
          <w:sz w:val="28"/>
          <w:szCs w:val="28"/>
          <w:lang w:eastAsia="en-US"/>
        </w:rPr>
        <w:t>21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573B88">
        <w:rPr>
          <w:rFonts w:eastAsiaTheme="minorHAnsi"/>
          <w:b/>
          <w:sz w:val="28"/>
          <w:szCs w:val="28"/>
          <w:lang w:eastAsia="en-US"/>
        </w:rPr>
        <w:t>8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</w:t>
      </w:r>
      <w:r w:rsidR="00FB0737" w:rsidRPr="00145CB6">
        <w:rPr>
          <w:rFonts w:eastAsiaTheme="minorHAnsi"/>
          <w:b/>
          <w:sz w:val="28"/>
          <w:szCs w:val="28"/>
          <w:lang w:eastAsia="en-US"/>
        </w:rPr>
        <w:t>3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573B88">
        <w:rPr>
          <w:rFonts w:eastAsiaTheme="minorHAnsi"/>
          <w:b/>
          <w:sz w:val="28"/>
          <w:szCs w:val="28"/>
          <w:lang w:eastAsia="en-US"/>
        </w:rPr>
        <w:t>26</w:t>
      </w:r>
      <w:r w:rsidR="00145CB6">
        <w:rPr>
          <w:rFonts w:eastAsiaTheme="minorHAnsi"/>
          <w:b/>
          <w:sz w:val="28"/>
          <w:szCs w:val="28"/>
          <w:lang w:eastAsia="en-US"/>
        </w:rPr>
        <w:t>.0</w:t>
      </w:r>
      <w:r w:rsidR="00573B88">
        <w:rPr>
          <w:rFonts w:eastAsiaTheme="minorHAnsi"/>
          <w:b/>
          <w:sz w:val="28"/>
          <w:szCs w:val="28"/>
          <w:lang w:eastAsia="en-US"/>
        </w:rPr>
        <w:t>9</w:t>
      </w:r>
      <w:bookmarkStart w:id="2" w:name="_GoBack"/>
      <w:bookmarkEnd w:id="2"/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2023</w:t>
      </w:r>
      <w:r w:rsidR="00E74A0A" w:rsidRPr="00145C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145CB6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4567F">
        <w:rPr>
          <w:sz w:val="28"/>
          <w:szCs w:val="28"/>
        </w:rPr>
        <w:t>ам</w:t>
      </w:r>
      <w:proofErr w:type="spellEnd"/>
      <w:r w:rsidRPr="0034567F">
        <w:rPr>
          <w:sz w:val="28"/>
          <w:szCs w:val="28"/>
        </w:rPr>
        <w:t>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BD0F66" w:rsidRPr="00190349">
        <w:rPr>
          <w:bCs/>
          <w:sz w:val="28"/>
          <w:szCs w:val="28"/>
        </w:rPr>
        <w:t>7 (499) 260-34-32 (доб. 1033)</w:t>
      </w:r>
      <w:r w:rsidR="00BD0F66" w:rsidRPr="00190349">
        <w:rPr>
          <w:sz w:val="28"/>
          <w:szCs w:val="28"/>
        </w:rPr>
        <w:t xml:space="preserve">, контактное лицо -  Ильина Татьяна Алексеевна, </w:t>
      </w:r>
      <w:r w:rsidR="00BD0F66" w:rsidRPr="00190349">
        <w:rPr>
          <w:bCs/>
          <w:sz w:val="28"/>
          <w:szCs w:val="28"/>
        </w:rPr>
        <w:t>e-</w:t>
      </w:r>
      <w:proofErr w:type="spellStart"/>
      <w:r w:rsidR="00BD0F66" w:rsidRPr="00190349">
        <w:rPr>
          <w:bCs/>
          <w:sz w:val="28"/>
          <w:szCs w:val="28"/>
        </w:rPr>
        <w:t>mail</w:t>
      </w:r>
      <w:proofErr w:type="spellEnd"/>
      <w:r w:rsidR="00BD0F66" w:rsidRPr="00190349">
        <w:rPr>
          <w:bCs/>
          <w:sz w:val="28"/>
          <w:szCs w:val="28"/>
        </w:rPr>
        <w:t xml:space="preserve">: </w:t>
      </w:r>
      <w:hyperlink r:id="rId9" w:history="1">
        <w:r w:rsidR="00BD0F66" w:rsidRPr="00190349">
          <w:rPr>
            <w:rStyle w:val="a9"/>
            <w:sz w:val="28"/>
            <w:szCs w:val="28"/>
            <w:lang w:val="en-US"/>
          </w:rPr>
          <w:t>IlinaTA</w:t>
        </w:r>
        <w:r w:rsidR="00BD0F66" w:rsidRPr="00190349">
          <w:rPr>
            <w:rStyle w:val="a9"/>
            <w:sz w:val="28"/>
            <w:szCs w:val="28"/>
          </w:rPr>
          <w:t>@</w:t>
        </w:r>
        <w:r w:rsidR="00BD0F66" w:rsidRPr="00190349">
          <w:rPr>
            <w:rStyle w:val="a9"/>
            <w:sz w:val="28"/>
            <w:szCs w:val="28"/>
            <w:lang w:val="en-US"/>
          </w:rPr>
          <w:t>rzdstroy</w:t>
        </w:r>
        <w:r w:rsidR="00BD0F66" w:rsidRPr="00190349">
          <w:rPr>
            <w:rStyle w:val="a9"/>
            <w:sz w:val="28"/>
            <w:szCs w:val="28"/>
          </w:rPr>
          <w:t>.</w:t>
        </w:r>
        <w:proofErr w:type="spellStart"/>
        <w:r w:rsidR="00BD0F66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705F6" w:rsidRPr="00E705F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E705F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DE" w:rsidRDefault="00CF12DE" w:rsidP="00C20FDA">
      <w:pPr>
        <w:spacing w:after="0" w:line="240" w:lineRule="auto"/>
      </w:pPr>
      <w:r>
        <w:separator/>
      </w:r>
    </w:p>
  </w:endnote>
  <w:end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Default="00CF12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DE" w:rsidRDefault="00CF12DE" w:rsidP="00C20FDA">
      <w:pPr>
        <w:spacing w:after="0" w:line="240" w:lineRule="auto"/>
      </w:pPr>
      <w:r>
        <w:separator/>
      </w:r>
    </w:p>
  </w:footnote>
  <w:foot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footnote>
  <w:footnote w:id="1">
    <w:p w:rsidR="00CF12DE" w:rsidRPr="005E14A0" w:rsidRDefault="00CF12DE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4638D0" w:rsidRDefault="00CF12D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9C17C6" w:rsidRDefault="00CF12D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F12DE" w:rsidRDefault="00CF12D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E10FD"/>
    <w:rsid w:val="000F6510"/>
    <w:rsid w:val="00112CFF"/>
    <w:rsid w:val="001167C8"/>
    <w:rsid w:val="00141698"/>
    <w:rsid w:val="00145CB6"/>
    <w:rsid w:val="001571AE"/>
    <w:rsid w:val="00160240"/>
    <w:rsid w:val="00180DCB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90909"/>
    <w:rsid w:val="00294E0E"/>
    <w:rsid w:val="002A1713"/>
    <w:rsid w:val="002A1FD7"/>
    <w:rsid w:val="002C01F3"/>
    <w:rsid w:val="002C37BB"/>
    <w:rsid w:val="002E26EA"/>
    <w:rsid w:val="002E7A19"/>
    <w:rsid w:val="00307585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0894"/>
    <w:rsid w:val="0046675B"/>
    <w:rsid w:val="00473AF9"/>
    <w:rsid w:val="00486B99"/>
    <w:rsid w:val="00490F8A"/>
    <w:rsid w:val="00494E49"/>
    <w:rsid w:val="004A471C"/>
    <w:rsid w:val="004B2240"/>
    <w:rsid w:val="004C4AC5"/>
    <w:rsid w:val="004D76B2"/>
    <w:rsid w:val="004E289F"/>
    <w:rsid w:val="004F5211"/>
    <w:rsid w:val="00542FA9"/>
    <w:rsid w:val="00567B50"/>
    <w:rsid w:val="00571C28"/>
    <w:rsid w:val="00573B8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312CD"/>
    <w:rsid w:val="00741629"/>
    <w:rsid w:val="00741BDD"/>
    <w:rsid w:val="00764FA4"/>
    <w:rsid w:val="00777FA7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4A12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F08E3"/>
    <w:rsid w:val="009F63B8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07D5A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CD423E"/>
    <w:rsid w:val="00CF12DE"/>
    <w:rsid w:val="00D00240"/>
    <w:rsid w:val="00D67333"/>
    <w:rsid w:val="00D70125"/>
    <w:rsid w:val="00D750BD"/>
    <w:rsid w:val="00D81A51"/>
    <w:rsid w:val="00D906BA"/>
    <w:rsid w:val="00D96C4D"/>
    <w:rsid w:val="00DA5D08"/>
    <w:rsid w:val="00DA60BF"/>
    <w:rsid w:val="00DB7053"/>
    <w:rsid w:val="00DC0F0E"/>
    <w:rsid w:val="00DC6A74"/>
    <w:rsid w:val="00DD0FAE"/>
    <w:rsid w:val="00DD2B03"/>
    <w:rsid w:val="00DD71B5"/>
    <w:rsid w:val="00DF5570"/>
    <w:rsid w:val="00DF5609"/>
    <w:rsid w:val="00E03DF2"/>
    <w:rsid w:val="00E15C8A"/>
    <w:rsid w:val="00E5614E"/>
    <w:rsid w:val="00E705F6"/>
    <w:rsid w:val="00E74A0A"/>
    <w:rsid w:val="00E77C35"/>
    <w:rsid w:val="00E928A5"/>
    <w:rsid w:val="00EA09D7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D24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21</Pages>
  <Words>6281</Words>
  <Characters>35804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114</cp:revision>
  <dcterms:created xsi:type="dcterms:W3CDTF">2020-10-12T06:28:00Z</dcterms:created>
  <dcterms:modified xsi:type="dcterms:W3CDTF">2023-08-16T09:10:00Z</dcterms:modified>
</cp:coreProperties>
</file>