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62EC8F2F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C132F2">
        <w:rPr>
          <w:rFonts w:ascii="Times New Roman" w:hAnsi="Times New Roman"/>
          <w:b/>
          <w:bCs/>
          <w:caps/>
          <w:color w:val="000000" w:themeColor="text1"/>
          <w:sz w:val="28"/>
        </w:rPr>
        <w:t>61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287EDDDD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="00E96FCF">
        <w:rPr>
          <w:bCs/>
          <w:sz w:val="28"/>
          <w:szCs w:val="28"/>
        </w:rPr>
        <w:t xml:space="preserve"> </w:t>
      </w:r>
      <w:r w:rsidRPr="0019569B">
        <w:rPr>
          <w:bCs/>
          <w:sz w:val="28"/>
          <w:szCs w:val="28"/>
        </w:rPr>
        <w:t>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47C3103D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C132F2">
        <w:rPr>
          <w:sz w:val="28"/>
          <w:szCs w:val="28"/>
        </w:rPr>
        <w:t>61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64F62284" w14:textId="748863EA" w:rsidR="00CD4B3B" w:rsidRDefault="000E10FD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bookmarkStart w:id="1" w:name="_GoBack"/>
      <w:r w:rsidR="00C132F2">
        <w:rPr>
          <w:iCs/>
          <w:sz w:val="28"/>
          <w:szCs w:val="28"/>
        </w:rPr>
        <w:t>з</w:t>
      </w:r>
      <w:r w:rsidR="00C132F2" w:rsidRPr="00C132F2">
        <w:rPr>
          <w:iCs/>
          <w:sz w:val="28"/>
          <w:szCs w:val="28"/>
        </w:rPr>
        <w:t>емельный участок АО «</w:t>
      </w:r>
      <w:proofErr w:type="spellStart"/>
      <w:r w:rsidR="00C132F2" w:rsidRPr="00C132F2">
        <w:rPr>
          <w:iCs/>
          <w:sz w:val="28"/>
          <w:szCs w:val="28"/>
        </w:rPr>
        <w:t>РЖДстрой</w:t>
      </w:r>
      <w:proofErr w:type="spellEnd"/>
      <w:r w:rsidR="00C132F2" w:rsidRPr="00C132F2">
        <w:rPr>
          <w:iCs/>
          <w:sz w:val="28"/>
          <w:szCs w:val="28"/>
        </w:rPr>
        <w:t>», расположенный по адресу: Иркутская область, г. Нижнеудинск, ул. Транспортная, № 35</w:t>
      </w:r>
      <w:bookmarkEnd w:id="1"/>
      <w:r w:rsidR="00297AD0">
        <w:rPr>
          <w:rFonts w:eastAsia="Calibri"/>
          <w:color w:val="000000"/>
          <w:sz w:val="28"/>
          <w:szCs w:val="28"/>
          <w:lang w:eastAsia="en-US"/>
        </w:rPr>
        <w:t>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739"/>
        <w:gridCol w:w="1150"/>
        <w:gridCol w:w="1903"/>
      </w:tblGrid>
      <w:tr w:rsidR="00C132F2" w:rsidRPr="002315A1" w14:paraId="7DC0D47F" w14:textId="77777777" w:rsidTr="005A2882">
        <w:trPr>
          <w:trHeight w:val="760"/>
          <w:jc w:val="center"/>
        </w:trPr>
        <w:tc>
          <w:tcPr>
            <w:tcW w:w="215" w:type="pct"/>
            <w:shd w:val="clear" w:color="auto" w:fill="D9D9D9"/>
            <w:vAlign w:val="center"/>
            <w:hideMark/>
          </w:tcPr>
          <w:p w14:paraId="567BB738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93" w:type="pct"/>
            <w:shd w:val="clear" w:color="auto" w:fill="D9D9D9"/>
            <w:vAlign w:val="center"/>
            <w:hideMark/>
          </w:tcPr>
          <w:p w14:paraId="6330B3C9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2" w:type="pct"/>
            <w:shd w:val="clear" w:color="auto" w:fill="D9D9D9"/>
            <w:vAlign w:val="center"/>
            <w:hideMark/>
          </w:tcPr>
          <w:p w14:paraId="5E6E1B0E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Площадь, протяжен-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1" w:type="pct"/>
            <w:shd w:val="clear" w:color="auto" w:fill="D9D9D9"/>
            <w:vAlign w:val="center"/>
            <w:hideMark/>
          </w:tcPr>
          <w:p w14:paraId="4110DDA6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№, дата выписки из ЕГРН/ свидетельства</w:t>
            </w:r>
          </w:p>
        </w:tc>
      </w:tr>
      <w:tr w:rsidR="00C132F2" w:rsidRPr="002315A1" w14:paraId="3BAC5631" w14:textId="77777777" w:rsidTr="005A2882">
        <w:trPr>
          <w:trHeight w:val="790"/>
          <w:jc w:val="center"/>
        </w:trPr>
        <w:tc>
          <w:tcPr>
            <w:tcW w:w="215" w:type="pct"/>
            <w:shd w:val="clear" w:color="000000" w:fill="FFFFFF"/>
            <w:vAlign w:val="center"/>
          </w:tcPr>
          <w:p w14:paraId="69A51840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3" w:type="pct"/>
            <w:shd w:val="clear" w:color="auto" w:fill="auto"/>
            <w:vAlign w:val="center"/>
          </w:tcPr>
          <w:p w14:paraId="7DA042DC" w14:textId="77777777" w:rsidR="00C132F2" w:rsidRPr="00470986" w:rsidRDefault="00C132F2" w:rsidP="0052039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3007E">
              <w:rPr>
                <w:rFonts w:ascii="Times New Roman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Pr="0056735B">
              <w:rPr>
                <w:rFonts w:ascii="Times New Roman" w:hAnsi="Times New Roman"/>
                <w:color w:val="000000"/>
                <w:sz w:val="20"/>
                <w:szCs w:val="20"/>
              </w:rPr>
              <w:t>ля эксплуатации сооружения-комплекса</w:t>
            </w: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>, кадастровый номер:</w:t>
            </w:r>
            <w:r w:rsidRPr="003D541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D5419">
              <w:rPr>
                <w:rFonts w:ascii="Times New Roman" w:hAnsi="Times New Roman"/>
                <w:color w:val="000000"/>
                <w:sz w:val="20"/>
                <w:szCs w:val="20"/>
              </w:rPr>
              <w:t>38:37:000000:11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(единое землепользование)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31FC8B" w14:textId="77777777" w:rsidR="00C132F2" w:rsidRPr="00470986" w:rsidRDefault="00C132F2" w:rsidP="005203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419">
              <w:rPr>
                <w:rFonts w:ascii="Times New Roman" w:eastAsia="Calibri" w:hAnsi="Times New Roman"/>
                <w:sz w:val="20"/>
                <w:szCs w:val="20"/>
              </w:rPr>
              <w:t>49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D5419">
              <w:rPr>
                <w:rFonts w:ascii="Times New Roman" w:eastAsia="Calibri" w:hAnsi="Times New Roman"/>
                <w:sz w:val="20"/>
                <w:szCs w:val="20"/>
              </w:rPr>
              <w:t>797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00B21579" w14:textId="77777777" w:rsidR="00C132F2" w:rsidRPr="0040521F" w:rsidRDefault="00C132F2" w:rsidP="0052039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№ КУВИ-001/2023-141143154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от </w:t>
            </w: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19.06.2023</w:t>
            </w:r>
          </w:p>
        </w:tc>
      </w:tr>
    </w:tbl>
    <w:p w14:paraId="12B5C668" w14:textId="77777777" w:rsidR="00297AD0" w:rsidRPr="007A0165" w:rsidRDefault="00297AD0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43BFA2DD" w14:textId="327EB429" w:rsidR="00B0714D" w:rsidRDefault="00B0714D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14:paraId="41D2448A" w14:textId="578A9D8C" w:rsidR="005A2882" w:rsidRPr="00D77BB1" w:rsidRDefault="00D77BB1" w:rsidP="00D77BB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77BB1">
        <w:rPr>
          <w:sz w:val="28"/>
          <w:szCs w:val="28"/>
        </w:rPr>
        <w:t xml:space="preserve">Незастроенный земельный участок, площадь: 49 797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категория земель: земли населенных пунктов, виды разрешенного использования: для эксплуатации сооружения-комплекса, кадастровый номер: 38:37:000000:11 (единое землепользование). Кадастровые номера обособленных (условных) участков, входящих в единое землепользование и их площади: 38:37:020405:12 - 40708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38:37:020406:93 - 9089 </w:t>
      </w:r>
      <w:proofErr w:type="spellStart"/>
      <w:r w:rsidRPr="00D77BB1">
        <w:rPr>
          <w:sz w:val="28"/>
          <w:szCs w:val="28"/>
        </w:rPr>
        <w:t>кв.м</w:t>
      </w:r>
      <w:proofErr w:type="spellEnd"/>
      <w:r w:rsidRPr="00D77BB1">
        <w:rPr>
          <w:sz w:val="28"/>
          <w:szCs w:val="28"/>
        </w:rPr>
        <w:t>.</w:t>
      </w:r>
    </w:p>
    <w:p w14:paraId="14542C8D" w14:textId="77777777" w:rsidR="005A2882" w:rsidRPr="00D80FCA" w:rsidRDefault="005A2882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01EFEC" w14:textId="33C429E1" w:rsidR="0046675B" w:rsidRPr="00755369" w:rsidRDefault="00D77BB1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2ADDED3A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lastRenderedPageBreak/>
        <w:t>по лоту № 1:</w:t>
      </w:r>
      <w:r w:rsidRPr="00755369">
        <w:rPr>
          <w:sz w:val="28"/>
          <w:szCs w:val="28"/>
        </w:rPr>
        <w:t xml:space="preserve"> </w:t>
      </w:r>
      <w:r w:rsidR="00FA6818" w:rsidRPr="00FA6818">
        <w:rPr>
          <w:bCs/>
          <w:color w:val="000000"/>
          <w:sz w:val="28"/>
          <w:szCs w:val="28"/>
        </w:rPr>
        <w:t>18</w:t>
      </w:r>
      <w:r w:rsidR="004F3E15">
        <w:rPr>
          <w:bCs/>
          <w:color w:val="000000"/>
          <w:sz w:val="28"/>
          <w:szCs w:val="28"/>
        </w:rPr>
        <w:t> </w:t>
      </w:r>
      <w:r w:rsidR="00FA6818" w:rsidRPr="00FA6818">
        <w:rPr>
          <w:bCs/>
          <w:color w:val="000000"/>
          <w:sz w:val="28"/>
          <w:szCs w:val="28"/>
        </w:rPr>
        <w:t>281</w:t>
      </w:r>
      <w:r w:rsidR="00FA6818">
        <w:rPr>
          <w:bCs/>
          <w:color w:val="000000"/>
          <w:sz w:val="28"/>
          <w:szCs w:val="28"/>
        </w:rPr>
        <w:t> </w:t>
      </w:r>
      <w:r w:rsidR="00FA6818" w:rsidRPr="00FA6818">
        <w:rPr>
          <w:bCs/>
          <w:color w:val="000000"/>
          <w:sz w:val="28"/>
          <w:szCs w:val="28"/>
        </w:rPr>
        <w:t>006</w:t>
      </w:r>
      <w:r w:rsidR="00FA6818">
        <w:rPr>
          <w:bCs/>
          <w:color w:val="000000"/>
          <w:sz w:val="28"/>
          <w:szCs w:val="28"/>
        </w:rPr>
        <w:t>,00</w:t>
      </w:r>
      <w:r w:rsidR="00FA6818" w:rsidRPr="00FA6818">
        <w:rPr>
          <w:bCs/>
          <w:color w:val="000000"/>
          <w:sz w:val="28"/>
          <w:szCs w:val="28"/>
        </w:rPr>
        <w:t xml:space="preserve"> (восемнадцать миллионов двести восемьдесят одна тысяча шесть рублей 00 копеек</w:t>
      </w:r>
      <w:r w:rsidR="00FA6818">
        <w:rPr>
          <w:bCs/>
          <w:color w:val="000000"/>
          <w:sz w:val="28"/>
          <w:szCs w:val="28"/>
        </w:rPr>
        <w:t>)</w:t>
      </w:r>
      <w:r w:rsidR="00FA6818" w:rsidRPr="00FA6818">
        <w:rPr>
          <w:bCs/>
          <w:color w:val="000000"/>
          <w:sz w:val="28"/>
          <w:szCs w:val="28"/>
        </w:rPr>
        <w:t xml:space="preserve"> (НДС не облагается)</w:t>
      </w:r>
      <w:r w:rsidR="00142B02">
        <w:rPr>
          <w:bCs/>
          <w:color w:val="000000"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7A4B609E" w:rsidR="000934C7" w:rsidRPr="00B91B90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Аукцион будет проводиться </w:t>
      </w:r>
      <w:r w:rsidR="000934C7" w:rsidRPr="00B91B90">
        <w:rPr>
          <w:b/>
          <w:sz w:val="28"/>
          <w:szCs w:val="28"/>
        </w:rPr>
        <w:t>«</w:t>
      </w:r>
      <w:r w:rsidR="00BA7A3A">
        <w:rPr>
          <w:b/>
          <w:sz w:val="28"/>
          <w:szCs w:val="28"/>
        </w:rPr>
        <w:t>03</w:t>
      </w:r>
      <w:r w:rsidR="000934C7" w:rsidRPr="00B91B90">
        <w:rPr>
          <w:b/>
          <w:sz w:val="28"/>
          <w:szCs w:val="28"/>
        </w:rPr>
        <w:t xml:space="preserve">» </w:t>
      </w:r>
      <w:r w:rsidR="00BA7A3A">
        <w:rPr>
          <w:b/>
          <w:sz w:val="28"/>
          <w:szCs w:val="28"/>
        </w:rPr>
        <w:t>августа</w:t>
      </w:r>
      <w:r w:rsidR="000934C7" w:rsidRPr="00B91B90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6960A160" w:rsidR="00767F7E" w:rsidRPr="00B91B90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 w:rsidRPr="00B91B90">
        <w:rPr>
          <w:b/>
          <w:sz w:val="28"/>
          <w:szCs w:val="28"/>
        </w:rPr>
        <w:t>«</w:t>
      </w:r>
      <w:r w:rsidR="00BA7A3A">
        <w:rPr>
          <w:b/>
          <w:sz w:val="28"/>
          <w:szCs w:val="28"/>
        </w:rPr>
        <w:t>29</w:t>
      </w:r>
      <w:r w:rsidR="00767F7E" w:rsidRPr="00B91B90">
        <w:rPr>
          <w:b/>
          <w:sz w:val="28"/>
          <w:szCs w:val="28"/>
        </w:rPr>
        <w:t xml:space="preserve">» </w:t>
      </w:r>
      <w:r w:rsidR="00BA7A3A">
        <w:rPr>
          <w:b/>
          <w:sz w:val="28"/>
          <w:szCs w:val="28"/>
        </w:rPr>
        <w:t>июн</w:t>
      </w:r>
      <w:r w:rsidR="00472453" w:rsidRPr="00B91B90">
        <w:rPr>
          <w:b/>
          <w:sz w:val="28"/>
          <w:szCs w:val="28"/>
        </w:rPr>
        <w:t>я</w:t>
      </w:r>
      <w:r w:rsidR="00767F7E" w:rsidRPr="00B91B90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6A7B9A3D" w:rsidR="00196AEF" w:rsidRPr="00B91B90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и время окончания приема Заявок: </w:t>
      </w:r>
      <w:r w:rsidR="00196AEF" w:rsidRPr="00B91B90">
        <w:rPr>
          <w:b/>
          <w:sz w:val="28"/>
          <w:szCs w:val="28"/>
        </w:rPr>
        <w:t>«</w:t>
      </w:r>
      <w:r w:rsidR="00BA7A3A">
        <w:rPr>
          <w:b/>
          <w:sz w:val="28"/>
          <w:szCs w:val="28"/>
        </w:rPr>
        <w:t>31</w:t>
      </w:r>
      <w:r w:rsidR="00196AEF" w:rsidRPr="00B91B90">
        <w:rPr>
          <w:b/>
          <w:sz w:val="28"/>
          <w:szCs w:val="28"/>
        </w:rPr>
        <w:t xml:space="preserve">» </w:t>
      </w:r>
      <w:r w:rsidR="00472453" w:rsidRPr="00B91B90">
        <w:rPr>
          <w:b/>
          <w:sz w:val="28"/>
          <w:szCs w:val="28"/>
        </w:rPr>
        <w:t>июля</w:t>
      </w:r>
      <w:r w:rsidR="00196AEF" w:rsidRPr="00B91B90">
        <w:rPr>
          <w:b/>
          <w:sz w:val="28"/>
          <w:szCs w:val="28"/>
        </w:rPr>
        <w:t xml:space="preserve"> 2023 г. в 12 часов 00</w:t>
      </w:r>
      <w:r w:rsidR="006D0A19" w:rsidRPr="00B91B90">
        <w:rPr>
          <w:b/>
          <w:sz w:val="28"/>
          <w:szCs w:val="28"/>
        </w:rPr>
        <w:t> </w:t>
      </w:r>
      <w:r w:rsidR="00196AEF" w:rsidRPr="00B91B90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4D0EE00B" w:rsidR="001420C3" w:rsidRPr="00B91B90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BA7A3A">
        <w:rPr>
          <w:rFonts w:eastAsiaTheme="minorHAnsi"/>
          <w:b/>
          <w:sz w:val="28"/>
          <w:szCs w:val="28"/>
          <w:lang w:eastAsia="en-US"/>
        </w:rPr>
        <w:t>29</w:t>
      </w:r>
      <w:r w:rsidR="00277E7E" w:rsidRPr="00B91B90">
        <w:rPr>
          <w:rFonts w:eastAsiaTheme="minorHAnsi"/>
          <w:b/>
          <w:sz w:val="28"/>
          <w:szCs w:val="28"/>
          <w:lang w:eastAsia="en-US"/>
        </w:rPr>
        <w:t>.06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B91B90">
        <w:rPr>
          <w:rFonts w:eastAsiaTheme="minorHAnsi"/>
          <w:b/>
          <w:sz w:val="28"/>
          <w:szCs w:val="28"/>
          <w:lang w:eastAsia="en-US"/>
        </w:rPr>
        <w:t>3</w:t>
      </w:r>
      <w:r w:rsidR="00BA7A3A">
        <w:rPr>
          <w:rFonts w:eastAsiaTheme="minorHAnsi"/>
          <w:b/>
          <w:sz w:val="28"/>
          <w:szCs w:val="28"/>
          <w:lang w:eastAsia="en-US"/>
        </w:rPr>
        <w:t>1</w:t>
      </w:r>
      <w:r w:rsidR="00277E7E" w:rsidRPr="00B91B90">
        <w:rPr>
          <w:rFonts w:eastAsiaTheme="minorHAnsi"/>
          <w:b/>
          <w:sz w:val="28"/>
          <w:szCs w:val="28"/>
          <w:lang w:eastAsia="en-US"/>
        </w:rPr>
        <w:t>.07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B91B90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2C463A" w:rsidRPr="00C1540E">
        <w:rPr>
          <w:sz w:val="28"/>
          <w:szCs w:val="28"/>
        </w:rPr>
        <w:t>электронной площадке</w:t>
      </w:r>
      <w:proofErr w:type="gramEnd"/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</w:t>
      </w:r>
      <w:r w:rsidR="005F51D0" w:rsidRPr="00C1540E">
        <w:rPr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</w:t>
      </w:r>
      <w:r w:rsidRPr="003C5496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</w:t>
      </w:r>
      <w:r w:rsidRPr="00AB105F">
        <w:rPr>
          <w:bCs/>
          <w:sz w:val="28"/>
          <w:szCs w:val="28"/>
        </w:rPr>
        <w:lastRenderedPageBreak/>
        <w:t>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</w:t>
      </w:r>
      <w:proofErr w:type="gramStart"/>
      <w:r w:rsidRPr="00C1540E">
        <w:rPr>
          <w:sz w:val="28"/>
          <w:szCs w:val="28"/>
        </w:rPr>
        <w:t>во время</w:t>
      </w:r>
      <w:proofErr w:type="gramEnd"/>
      <w:r w:rsidRPr="00C1540E">
        <w:rPr>
          <w:sz w:val="28"/>
          <w:szCs w:val="28"/>
        </w:rPr>
        <w:t>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18E71CF4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F2D3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DF2D3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8A2908">
        <w:rPr>
          <w:rFonts w:ascii="Times New Roman" w:hAnsi="Times New Roman"/>
          <w:sz w:val="28"/>
          <w:szCs w:val="28"/>
        </w:rPr>
        <w:lastRenderedPageBreak/>
        <w:t>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0CF05BA3" w:rsidR="00A55669" w:rsidRPr="008A2908" w:rsidRDefault="008A2908" w:rsidP="001C0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09206726" w14:textId="77777777" w:rsidR="007C7819" w:rsidRPr="007C7819" w:rsidRDefault="00C0063F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</w:t>
      </w:r>
      <w:r w:rsidR="00F970DE" w:rsidRPr="007C7819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 w:rsidRPr="007C7819">
        <w:rPr>
          <w:sz w:val="28"/>
          <w:szCs w:val="28"/>
          <w:lang w:val="en-US"/>
        </w:rPr>
        <w:t>)</w:t>
      </w:r>
      <w:r w:rsidR="00E928A5" w:rsidRPr="007C7819">
        <w:rPr>
          <w:sz w:val="28"/>
          <w:szCs w:val="28"/>
        </w:rPr>
        <w:t>.</w:t>
      </w:r>
    </w:p>
    <w:p w14:paraId="7D450B0B" w14:textId="731509A8" w:rsidR="00870234" w:rsidRPr="007C7819" w:rsidRDefault="00F970DE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C7819">
        <w:rPr>
          <w:sz w:val="28"/>
          <w:szCs w:val="28"/>
        </w:rPr>
        <w:t>РЖДстрой</w:t>
      </w:r>
      <w:proofErr w:type="spellEnd"/>
      <w:r w:rsidRPr="007C7819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5CC5A366" w14:textId="551D0B6D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64C3661" w14:textId="44CF02A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4A58B38" w14:textId="6DDAD94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FCE753F" w14:textId="2E74E6D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C90180" w14:textId="1B4B7035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1C5987" w14:textId="32A35354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EC09BB3" w14:textId="7E22083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AA28FFA" w14:textId="497A743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9C92856" w14:textId="351D5A9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2290356" w14:textId="3A71C1B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921BAFC" w14:textId="5E0F3B2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95D0656" w14:textId="50C8C97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1E4B05E" w14:textId="7D4EE873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7388FF8" w14:textId="2FF7F13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EE8A53" w14:textId="3B3D71D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F44F6DC" w14:textId="53BF20C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6593760" w14:textId="3C66036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09D2CC8" w14:textId="18CBCE7F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BDAFCF" w14:textId="510E719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2287C15" w14:textId="562CFD61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7016495" w14:textId="2B7C62A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E14ED3" w14:textId="2799CA4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1F290B0" w14:textId="61A589E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6A928B5" w14:textId="428B78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BAA04E4" w14:textId="448A89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1D92C20" w14:textId="537E8CD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EEA778" w14:textId="369B6E6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3E6332B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453D9DB" w14:textId="5FD9801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6141B3F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 xml:space="preserve">(указать наименование претендента или, в случае участия нескольких лиц на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>, я, нижеподписавшийся, настоящим подаю заявку на участие в аукционе №   Лот № 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lastRenderedPageBreak/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C513" w14:textId="77777777" w:rsidR="00142B02" w:rsidRDefault="00142B02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142B02" w:rsidRDefault="00142B0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E6D7" w14:textId="77777777" w:rsidR="00142B02" w:rsidRDefault="00142B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FF0F" w14:textId="77777777" w:rsidR="00142B02" w:rsidRDefault="00142B02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142B02" w:rsidRDefault="00142B02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142B02" w:rsidRPr="005E14A0" w:rsidRDefault="00142B02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749E" w14:textId="77777777" w:rsidR="00142B02" w:rsidRPr="004638D0" w:rsidRDefault="00142B0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4C03" w14:textId="77777777" w:rsidR="00142B02" w:rsidRPr="009C17C6" w:rsidRDefault="00142B0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142B02" w:rsidRDefault="00142B02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D9BA78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2386A"/>
    <w:rsid w:val="000366D7"/>
    <w:rsid w:val="000739DB"/>
    <w:rsid w:val="000813F0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4287F"/>
    <w:rsid w:val="00142B02"/>
    <w:rsid w:val="001571AE"/>
    <w:rsid w:val="00160240"/>
    <w:rsid w:val="001616BE"/>
    <w:rsid w:val="00163FC8"/>
    <w:rsid w:val="00180DCB"/>
    <w:rsid w:val="0019569B"/>
    <w:rsid w:val="00196AEF"/>
    <w:rsid w:val="001A141A"/>
    <w:rsid w:val="001B12D4"/>
    <w:rsid w:val="001C0A8E"/>
    <w:rsid w:val="001C2457"/>
    <w:rsid w:val="001D40D2"/>
    <w:rsid w:val="001E49CE"/>
    <w:rsid w:val="001F1167"/>
    <w:rsid w:val="00205691"/>
    <w:rsid w:val="00217E7D"/>
    <w:rsid w:val="002228CA"/>
    <w:rsid w:val="0023321C"/>
    <w:rsid w:val="00245047"/>
    <w:rsid w:val="002507F7"/>
    <w:rsid w:val="002575D8"/>
    <w:rsid w:val="00264832"/>
    <w:rsid w:val="00270774"/>
    <w:rsid w:val="00277E7E"/>
    <w:rsid w:val="00290909"/>
    <w:rsid w:val="00292814"/>
    <w:rsid w:val="00293C01"/>
    <w:rsid w:val="00294E0E"/>
    <w:rsid w:val="00297AD0"/>
    <w:rsid w:val="002A1FD7"/>
    <w:rsid w:val="002C01F3"/>
    <w:rsid w:val="002C463A"/>
    <w:rsid w:val="002E26EA"/>
    <w:rsid w:val="002E3AFE"/>
    <w:rsid w:val="002E7A19"/>
    <w:rsid w:val="00301F10"/>
    <w:rsid w:val="0031325D"/>
    <w:rsid w:val="003153A4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C5496"/>
    <w:rsid w:val="003C7EC0"/>
    <w:rsid w:val="003D1FC5"/>
    <w:rsid w:val="004165C2"/>
    <w:rsid w:val="004339C7"/>
    <w:rsid w:val="00437275"/>
    <w:rsid w:val="00447373"/>
    <w:rsid w:val="00456F25"/>
    <w:rsid w:val="0046675B"/>
    <w:rsid w:val="00472453"/>
    <w:rsid w:val="00472857"/>
    <w:rsid w:val="00473AF9"/>
    <w:rsid w:val="00486B99"/>
    <w:rsid w:val="00487808"/>
    <w:rsid w:val="0049280E"/>
    <w:rsid w:val="004A471C"/>
    <w:rsid w:val="004A569B"/>
    <w:rsid w:val="004B35D7"/>
    <w:rsid w:val="004C29EB"/>
    <w:rsid w:val="004C4AC5"/>
    <w:rsid w:val="004F3E15"/>
    <w:rsid w:val="00541460"/>
    <w:rsid w:val="00542FA9"/>
    <w:rsid w:val="00544083"/>
    <w:rsid w:val="005504E3"/>
    <w:rsid w:val="00567B50"/>
    <w:rsid w:val="00571C28"/>
    <w:rsid w:val="00584789"/>
    <w:rsid w:val="005A18F6"/>
    <w:rsid w:val="005A2882"/>
    <w:rsid w:val="005A4F31"/>
    <w:rsid w:val="005B0AFF"/>
    <w:rsid w:val="005D08C9"/>
    <w:rsid w:val="005E00C2"/>
    <w:rsid w:val="005E4686"/>
    <w:rsid w:val="005E4C8D"/>
    <w:rsid w:val="005F51D0"/>
    <w:rsid w:val="00600C06"/>
    <w:rsid w:val="00603A54"/>
    <w:rsid w:val="00605D10"/>
    <w:rsid w:val="00617802"/>
    <w:rsid w:val="0062358B"/>
    <w:rsid w:val="006248FD"/>
    <w:rsid w:val="00641226"/>
    <w:rsid w:val="00642CE7"/>
    <w:rsid w:val="00654AD2"/>
    <w:rsid w:val="00661045"/>
    <w:rsid w:val="0066264D"/>
    <w:rsid w:val="00674A88"/>
    <w:rsid w:val="0067529B"/>
    <w:rsid w:val="006908EF"/>
    <w:rsid w:val="006959DD"/>
    <w:rsid w:val="006A0E94"/>
    <w:rsid w:val="006A12FF"/>
    <w:rsid w:val="006B79A4"/>
    <w:rsid w:val="006D0A19"/>
    <w:rsid w:val="006D1CF1"/>
    <w:rsid w:val="006D26E3"/>
    <w:rsid w:val="006D7C2F"/>
    <w:rsid w:val="006E0A4C"/>
    <w:rsid w:val="006E385F"/>
    <w:rsid w:val="006E749F"/>
    <w:rsid w:val="006F368D"/>
    <w:rsid w:val="00702C44"/>
    <w:rsid w:val="007211F5"/>
    <w:rsid w:val="007268BA"/>
    <w:rsid w:val="00730B1A"/>
    <w:rsid w:val="00755369"/>
    <w:rsid w:val="00764FA4"/>
    <w:rsid w:val="00767F7E"/>
    <w:rsid w:val="0078207F"/>
    <w:rsid w:val="00786582"/>
    <w:rsid w:val="007875C2"/>
    <w:rsid w:val="00795906"/>
    <w:rsid w:val="007A0165"/>
    <w:rsid w:val="007A4622"/>
    <w:rsid w:val="007C0546"/>
    <w:rsid w:val="007C7819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49F2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32DE1"/>
    <w:rsid w:val="00933661"/>
    <w:rsid w:val="00941EFF"/>
    <w:rsid w:val="00946F24"/>
    <w:rsid w:val="009535BB"/>
    <w:rsid w:val="00963DA6"/>
    <w:rsid w:val="009700BE"/>
    <w:rsid w:val="00985937"/>
    <w:rsid w:val="009A04B4"/>
    <w:rsid w:val="009A779F"/>
    <w:rsid w:val="009B62AE"/>
    <w:rsid w:val="009B6F50"/>
    <w:rsid w:val="009C4F77"/>
    <w:rsid w:val="009D4115"/>
    <w:rsid w:val="009D6D74"/>
    <w:rsid w:val="009E7896"/>
    <w:rsid w:val="009F06CE"/>
    <w:rsid w:val="009F79C0"/>
    <w:rsid w:val="00A02E0B"/>
    <w:rsid w:val="00A06C38"/>
    <w:rsid w:val="00A16939"/>
    <w:rsid w:val="00A311B7"/>
    <w:rsid w:val="00A35D2B"/>
    <w:rsid w:val="00A446CE"/>
    <w:rsid w:val="00A54982"/>
    <w:rsid w:val="00A55669"/>
    <w:rsid w:val="00A556E0"/>
    <w:rsid w:val="00A608CC"/>
    <w:rsid w:val="00A62B26"/>
    <w:rsid w:val="00A75D29"/>
    <w:rsid w:val="00A854E7"/>
    <w:rsid w:val="00A95596"/>
    <w:rsid w:val="00AA2495"/>
    <w:rsid w:val="00AB105F"/>
    <w:rsid w:val="00AB222F"/>
    <w:rsid w:val="00AC5907"/>
    <w:rsid w:val="00AD6CB6"/>
    <w:rsid w:val="00B00901"/>
    <w:rsid w:val="00B04563"/>
    <w:rsid w:val="00B0714D"/>
    <w:rsid w:val="00B12518"/>
    <w:rsid w:val="00B4132D"/>
    <w:rsid w:val="00B4272C"/>
    <w:rsid w:val="00B56628"/>
    <w:rsid w:val="00B56CF9"/>
    <w:rsid w:val="00B57822"/>
    <w:rsid w:val="00B63FA6"/>
    <w:rsid w:val="00B64360"/>
    <w:rsid w:val="00B64BD5"/>
    <w:rsid w:val="00B91B90"/>
    <w:rsid w:val="00BA1002"/>
    <w:rsid w:val="00BA636D"/>
    <w:rsid w:val="00BA7A3A"/>
    <w:rsid w:val="00BB3A2D"/>
    <w:rsid w:val="00BC2A10"/>
    <w:rsid w:val="00BC3D05"/>
    <w:rsid w:val="00BC5A4D"/>
    <w:rsid w:val="00BC63D1"/>
    <w:rsid w:val="00BC7CA5"/>
    <w:rsid w:val="00BE39FD"/>
    <w:rsid w:val="00BE4881"/>
    <w:rsid w:val="00BE4B5C"/>
    <w:rsid w:val="00BF445F"/>
    <w:rsid w:val="00C0063F"/>
    <w:rsid w:val="00C00A1F"/>
    <w:rsid w:val="00C132F2"/>
    <w:rsid w:val="00C1540E"/>
    <w:rsid w:val="00C20FDA"/>
    <w:rsid w:val="00C24F0B"/>
    <w:rsid w:val="00C269B7"/>
    <w:rsid w:val="00C27B8C"/>
    <w:rsid w:val="00C3595F"/>
    <w:rsid w:val="00C36BA9"/>
    <w:rsid w:val="00C402B2"/>
    <w:rsid w:val="00C430AB"/>
    <w:rsid w:val="00C43FF9"/>
    <w:rsid w:val="00C45380"/>
    <w:rsid w:val="00C60853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43A5F"/>
    <w:rsid w:val="00D67333"/>
    <w:rsid w:val="00D70125"/>
    <w:rsid w:val="00D76A70"/>
    <w:rsid w:val="00D77BB1"/>
    <w:rsid w:val="00D81A51"/>
    <w:rsid w:val="00D906BA"/>
    <w:rsid w:val="00DA60BF"/>
    <w:rsid w:val="00DC0F0E"/>
    <w:rsid w:val="00DC6A74"/>
    <w:rsid w:val="00DD0FAE"/>
    <w:rsid w:val="00DF2D36"/>
    <w:rsid w:val="00DF5570"/>
    <w:rsid w:val="00DF5609"/>
    <w:rsid w:val="00E15C8A"/>
    <w:rsid w:val="00E47281"/>
    <w:rsid w:val="00E5614E"/>
    <w:rsid w:val="00E77C35"/>
    <w:rsid w:val="00E84B5B"/>
    <w:rsid w:val="00E928A5"/>
    <w:rsid w:val="00E92A7A"/>
    <w:rsid w:val="00E93A8C"/>
    <w:rsid w:val="00E96FCF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11640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35E4"/>
    <w:rsid w:val="00F970DE"/>
    <w:rsid w:val="00FA6818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19</Pages>
  <Words>5035</Words>
  <Characters>28702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148</cp:revision>
  <dcterms:created xsi:type="dcterms:W3CDTF">2020-10-12T06:28:00Z</dcterms:created>
  <dcterms:modified xsi:type="dcterms:W3CDTF">2023-06-26T09:08:00Z</dcterms:modified>
</cp:coreProperties>
</file>