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35FB2">
        <w:rPr>
          <w:rFonts w:ascii="Times New Roman" w:hAnsi="Times New Roman"/>
          <w:b/>
          <w:bCs/>
          <w:caps/>
          <w:color w:val="000000" w:themeColor="text1"/>
          <w:sz w:val="28"/>
        </w:rPr>
        <w:t>741</w:t>
      </w:r>
      <w:r w:rsidR="00685C0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35FB2">
        <w:rPr>
          <w:sz w:val="28"/>
          <w:szCs w:val="28"/>
        </w:rPr>
        <w:t>741</w:t>
      </w:r>
      <w:r w:rsidR="00685C01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57F37" w:rsidRDefault="000E10FD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 xml:space="preserve"> район, г. Унеча, ул.</w:t>
      </w:r>
      <w:r w:rsidR="00D32987">
        <w:rPr>
          <w:rFonts w:ascii="Times New Roman" w:hAnsi="Times New Roman"/>
          <w:sz w:val="28"/>
          <w:szCs w:val="28"/>
        </w:rPr>
        <w:t> </w:t>
      </w:r>
      <w:proofErr w:type="spellStart"/>
      <w:r w:rsidR="00D32987" w:rsidRPr="00D32987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D32987" w:rsidRPr="00D32987">
        <w:rPr>
          <w:rFonts w:ascii="Times New Roman" w:hAnsi="Times New Roman"/>
          <w:sz w:val="28"/>
          <w:szCs w:val="28"/>
        </w:rPr>
        <w:t>, д. 1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D32987" w:rsidRPr="00D32987" w:rsidTr="00F05E08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2987" w:rsidRPr="00D32987" w:rsidTr="00F05E08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D32987" w:rsidRPr="00D32987" w:rsidTr="00F05E08">
        <w:trPr>
          <w:trHeight w:val="725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D32987" w:rsidRPr="00D32987" w:rsidTr="00F05E08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D32987" w:rsidRPr="00D32987" w:rsidTr="00F05E08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D32987" w:rsidRPr="00D32987" w:rsidTr="00F05E08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D32987" w:rsidRPr="00D32987" w:rsidTr="00F05E08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987" w:rsidRPr="00D32987" w:rsidRDefault="00D32987" w:rsidP="00D3298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B46F2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6F2" w:rsidRPr="00D32987" w:rsidRDefault="004B46F2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5E3D79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D79" w:rsidRPr="00D32987" w:rsidRDefault="005E3D79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D32987" w:rsidRPr="00D32987" w:rsidTr="00F05E08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D32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987" w:rsidRPr="00D32987" w:rsidRDefault="00D32987" w:rsidP="005E3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</w:tbl>
    <w:p w:rsidR="00A437F9" w:rsidRDefault="00A437F9" w:rsidP="0012752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332B42" w:rsidRPr="00332B42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5FB2" w:rsidRDefault="004E3ABB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85C01">
        <w:rPr>
          <w:rFonts w:ascii="Times New Roman" w:hAnsi="Times New Roman"/>
          <w:b/>
          <w:color w:val="000000"/>
          <w:sz w:val="28"/>
          <w:szCs w:val="28"/>
        </w:rPr>
        <w:t xml:space="preserve">Лот № 2. </w:t>
      </w:r>
      <w:r w:rsidR="00D35FB2">
        <w:rPr>
          <w:rFonts w:ascii="Times New Roman" w:hAnsi="Times New Roman"/>
          <w:iCs/>
          <w:sz w:val="28"/>
          <w:szCs w:val="28"/>
        </w:rPr>
        <w:t>о</w:t>
      </w:r>
      <w:r w:rsidR="00D35FB2" w:rsidRPr="00055B8C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г. Москва, пер. Нижний Сусальный, д. 6, строен. 1</w:t>
      </w:r>
      <w:r w:rsidR="00D35FB2" w:rsidRPr="008834AA">
        <w:rPr>
          <w:rFonts w:ascii="Times New Roman" w:hAnsi="Times New Roman"/>
          <w:sz w:val="28"/>
          <w:szCs w:val="28"/>
        </w:rPr>
        <w:t>:</w:t>
      </w:r>
    </w:p>
    <w:p w:rsidR="00D35FB2" w:rsidRDefault="00D35FB2" w:rsidP="00D3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8"/>
        <w:gridCol w:w="4031"/>
        <w:gridCol w:w="1513"/>
        <w:gridCol w:w="4335"/>
      </w:tblGrid>
      <w:tr w:rsidR="00D35FB2" w:rsidRPr="00055B8C" w:rsidTr="00684342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D35FB2" w:rsidRPr="00055B8C" w:rsidTr="00684342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35FB2" w:rsidRPr="00055B8C" w:rsidTr="00684342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Административное, назначение: нежилое здание,</w:t>
            </w:r>
            <w:r w:rsidRPr="00055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этажей, в том числе подземных этажей: 2, условный номер: 262856, кадастровый номер: 77:01:0003005:2440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sz w:val="18"/>
                <w:szCs w:val="18"/>
              </w:rPr>
              <w:t>236,5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99/2021/376254111 от 17.02.2021</w:t>
            </w:r>
          </w:p>
        </w:tc>
      </w:tr>
      <w:tr w:rsidR="00D35FB2" w:rsidRPr="00055B8C" w:rsidTr="00684342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35FB2" w:rsidRPr="00055B8C" w:rsidTr="00684342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35FB2" w:rsidRPr="00055B8C" w:rsidTr="00684342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B2" w:rsidRPr="00055B8C" w:rsidRDefault="00D35FB2" w:rsidP="0068434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B2" w:rsidRPr="00055B8C" w:rsidRDefault="00D35FB2" w:rsidP="0068434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5B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Автоматическая система пожарной сигнализации </w:t>
            </w:r>
          </w:p>
        </w:tc>
      </w:tr>
    </w:tbl>
    <w:p w:rsidR="00D35FB2" w:rsidRDefault="00D35FB2" w:rsidP="00D3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FB2" w:rsidRPr="008834AA" w:rsidRDefault="00D35FB2" w:rsidP="00D35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5FB2" w:rsidRPr="008834AA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Земельный участок, занимаемый Объектом (далее - Участок), и необходимый для его использования, имеет следующие основные характеристики: 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 xml:space="preserve">- площадь: 334 + - 6 </w:t>
      </w:r>
      <w:proofErr w:type="spellStart"/>
      <w:r w:rsidRPr="001A2ADE">
        <w:rPr>
          <w:rFonts w:ascii="Times New Roman" w:hAnsi="Times New Roman"/>
          <w:sz w:val="28"/>
          <w:szCs w:val="28"/>
        </w:rPr>
        <w:t>кв</w:t>
      </w:r>
      <w:proofErr w:type="gramStart"/>
      <w:r w:rsidRPr="001A2AD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A2ADE">
        <w:rPr>
          <w:rFonts w:ascii="Times New Roman" w:hAnsi="Times New Roman"/>
          <w:sz w:val="28"/>
          <w:szCs w:val="28"/>
        </w:rPr>
        <w:t>;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кадастровый номер: 77:01:0003005:2486;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категория земель: земли населённых пунктов;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ADE">
        <w:rPr>
          <w:rFonts w:ascii="Times New Roman" w:hAnsi="Times New Roman"/>
          <w:sz w:val="28"/>
          <w:szCs w:val="28"/>
        </w:rPr>
        <w:lastRenderedPageBreak/>
        <w:t>- разрешенное использование: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</w:t>
      </w:r>
      <w:proofErr w:type="gramEnd"/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- адрес: г. Москва, пер. Нижний Сусальный, вл. 6/4;</w:t>
      </w:r>
    </w:p>
    <w:p w:rsidR="00D35FB2" w:rsidRPr="001A2ADE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A2ADE">
        <w:rPr>
          <w:rFonts w:ascii="Times New Roman" w:hAnsi="Times New Roman"/>
          <w:sz w:val="28"/>
          <w:szCs w:val="28"/>
        </w:rPr>
        <w:t>Участок принадлежит Продавцу на праве пользования (земельно-правовые отношения не оформлены).</w:t>
      </w:r>
    </w:p>
    <w:p w:rsidR="00D35FB2" w:rsidRPr="008834AA" w:rsidRDefault="00D35FB2" w:rsidP="00D35FB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E347E" w:rsidRPr="001070FF" w:rsidRDefault="00BE347E" w:rsidP="00D35F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F7813" w:rsidRDefault="000D1CCE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D202BC" w:rsidRPr="001D2EED">
        <w:rPr>
          <w:rFonts w:ascii="Times New Roman" w:hAnsi="Times New Roman"/>
          <w:b/>
          <w:iCs/>
          <w:sz w:val="28"/>
          <w:szCs w:val="28"/>
        </w:rPr>
        <w:t>: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цена) составляет: </w:t>
      </w:r>
    </w:p>
    <w:p w:rsidR="00EF7813" w:rsidRPr="00D35FB2" w:rsidRDefault="0046675B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FB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D35FB2">
        <w:rPr>
          <w:rFonts w:ascii="Times New Roman" w:hAnsi="Times New Roman"/>
          <w:sz w:val="28"/>
          <w:szCs w:val="28"/>
        </w:rPr>
        <w:t xml:space="preserve"> </w:t>
      </w:r>
      <w:r w:rsidR="00656045" w:rsidRPr="00D35FB2">
        <w:rPr>
          <w:rFonts w:ascii="Times New Roman" w:hAnsi="Times New Roman"/>
          <w:color w:val="000000"/>
          <w:sz w:val="28"/>
          <w:szCs w:val="28"/>
        </w:rPr>
        <w:t>46 126 190,16</w:t>
      </w:r>
      <w:r w:rsidR="00656045" w:rsidRPr="00D35FB2">
        <w:rPr>
          <w:rFonts w:ascii="Times New Roman" w:hAnsi="Times New Roman"/>
          <w:sz w:val="28"/>
          <w:szCs w:val="28"/>
        </w:rPr>
        <w:t xml:space="preserve"> (сорок шесть миллионов сто двадцать шесть тысяч сто девяносто) рублей 16 копеек с учетом НДС 20%.</w:t>
      </w:r>
    </w:p>
    <w:p w:rsidR="00D35FB2" w:rsidRPr="00D35FB2" w:rsidRDefault="0046675B" w:rsidP="00D35FB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35FB2">
        <w:rPr>
          <w:rFonts w:ascii="Times New Roman" w:hAnsi="Times New Roman"/>
          <w:b/>
          <w:sz w:val="28"/>
          <w:szCs w:val="28"/>
        </w:rPr>
        <w:t xml:space="preserve">по лоту № 2: </w:t>
      </w:r>
      <w:r w:rsidR="00D35FB2" w:rsidRPr="00D35FB2">
        <w:rPr>
          <w:rFonts w:ascii="Times New Roman" w:hAnsi="Times New Roman"/>
          <w:iCs/>
          <w:sz w:val="28"/>
          <w:szCs w:val="28"/>
        </w:rPr>
        <w:t xml:space="preserve">43 718 796,00 (сорок три миллиона семьсот восемнадцать тысяч семьсот девяносто шесть рублей 00 копеек) </w:t>
      </w:r>
      <w:r w:rsidR="00D35FB2" w:rsidRPr="00D35FB2">
        <w:rPr>
          <w:rFonts w:ascii="Times New Roman" w:eastAsia="Calibri" w:hAnsi="Times New Roman"/>
          <w:bCs/>
          <w:sz w:val="28"/>
          <w:szCs w:val="28"/>
        </w:rPr>
        <w:t>с учетом НДС 20%.</w:t>
      </w:r>
    </w:p>
    <w:p w:rsidR="00D35FB2" w:rsidRPr="00EF7813" w:rsidRDefault="00D35FB2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</w:t>
      </w:r>
      <w:proofErr w:type="gramStart"/>
      <w:r w:rsidRPr="00C1540E">
        <w:rPr>
          <w:sz w:val="28"/>
          <w:szCs w:val="28"/>
        </w:rPr>
        <w:t>Аукционе</w:t>
      </w:r>
      <w:proofErr w:type="gramEnd"/>
      <w:r w:rsidRPr="00C1540E">
        <w:rPr>
          <w:sz w:val="28"/>
          <w:szCs w:val="28"/>
        </w:rPr>
        <w:t xml:space="preserve">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0D1CCE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2"/>
        <w:numPr>
          <w:ilvl w:val="0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684342">
        <w:rPr>
          <w:b/>
          <w:sz w:val="28"/>
          <w:szCs w:val="28"/>
        </w:rPr>
        <w:t>0</w:t>
      </w:r>
      <w:r w:rsidR="005E0518">
        <w:rPr>
          <w:b/>
          <w:sz w:val="28"/>
          <w:szCs w:val="28"/>
        </w:rPr>
        <w:t>6</w:t>
      </w:r>
      <w:bookmarkStart w:id="2" w:name="_GoBack"/>
      <w:bookmarkEnd w:id="2"/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84342">
        <w:rPr>
          <w:b/>
          <w:sz w:val="28"/>
          <w:szCs w:val="28"/>
        </w:rPr>
        <w:t>сентября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F05346" w:rsidRPr="00316FFB" w:rsidRDefault="00F05346" w:rsidP="000D1CCE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16FF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16FFB">
        <w:rPr>
          <w:sz w:val="28"/>
          <w:szCs w:val="28"/>
        </w:rPr>
        <w:t xml:space="preserve">и </w:t>
      </w:r>
      <w:r w:rsidR="00316FFB" w:rsidRPr="00316FFB">
        <w:rPr>
          <w:bCs/>
          <w:sz w:val="28"/>
          <w:szCs w:val="28"/>
        </w:rPr>
        <w:t>ООО</w:t>
      </w:r>
      <w:proofErr w:type="gramEnd"/>
      <w:r w:rsidR="00316FFB" w:rsidRPr="00316FFB">
        <w:rPr>
          <w:bCs/>
          <w:sz w:val="28"/>
          <w:szCs w:val="28"/>
        </w:rPr>
        <w:t xml:space="preserve"> «РТС-тендер» </w:t>
      </w:r>
      <w:r w:rsidR="00316FFB" w:rsidRPr="00316FFB">
        <w:rPr>
          <w:sz w:val="28"/>
          <w:szCs w:val="28"/>
        </w:rPr>
        <w:t>www.rts-tender.ru (далее - ЭТП, сайт ЭТП).</w:t>
      </w:r>
    </w:p>
    <w:p w:rsidR="00FD2BEA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>
        <w:rPr>
          <w:sz w:val="28"/>
          <w:szCs w:val="28"/>
        </w:rPr>
        <w:t>«</w:t>
      </w:r>
      <w:r w:rsidR="00684342">
        <w:rPr>
          <w:b/>
          <w:sz w:val="28"/>
          <w:szCs w:val="28"/>
        </w:rPr>
        <w:t>29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684342">
        <w:rPr>
          <w:b/>
          <w:sz w:val="28"/>
          <w:szCs w:val="28"/>
        </w:rPr>
        <w:t>июл</w:t>
      </w:r>
      <w:r w:rsidR="00685C01">
        <w:rPr>
          <w:b/>
          <w:sz w:val="28"/>
          <w:szCs w:val="28"/>
        </w:rPr>
        <w:t>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685C01">
        <w:rPr>
          <w:b/>
          <w:sz w:val="28"/>
          <w:szCs w:val="28"/>
        </w:rPr>
        <w:t>0</w:t>
      </w:r>
      <w:r w:rsidR="00684342">
        <w:rPr>
          <w:b/>
          <w:sz w:val="28"/>
          <w:szCs w:val="28"/>
        </w:rPr>
        <w:t>2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</w:t>
      </w:r>
      <w:r w:rsidR="00684342">
        <w:rPr>
          <w:b/>
          <w:sz w:val="28"/>
          <w:szCs w:val="28"/>
        </w:rPr>
        <w:t>сентября</w:t>
      </w:r>
      <w:r w:rsidR="006F71DD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Лицо, желающее принять участие в Аукционе, является претендентом на </w:t>
      </w:r>
      <w:r w:rsidRPr="00C1540E">
        <w:rPr>
          <w:sz w:val="28"/>
          <w:szCs w:val="28"/>
        </w:rPr>
        <w:lastRenderedPageBreak/>
        <w:t>участие в Аукционе (далее - Претендент).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843B7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843B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843B7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843B7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="005F51D0" w:rsidRPr="00C1540E">
        <w:rPr>
          <w:sz w:val="28"/>
          <w:szCs w:val="28"/>
        </w:rPr>
        <w:lastRenderedPageBreak/>
        <w:t>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</w:t>
      </w:r>
      <w:r w:rsidR="00E928A5" w:rsidRPr="00C1540E">
        <w:rPr>
          <w:sz w:val="28"/>
          <w:szCs w:val="28"/>
        </w:rPr>
        <w:lastRenderedPageBreak/>
        <w:t xml:space="preserve">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42" w:rsidRDefault="00684342" w:rsidP="00C20FDA">
      <w:pPr>
        <w:spacing w:after="0" w:line="240" w:lineRule="auto"/>
      </w:pPr>
      <w:r>
        <w:separator/>
      </w:r>
    </w:p>
  </w:endnote>
  <w:endnote w:type="continuationSeparator" w:id="0">
    <w:p w:rsidR="00684342" w:rsidRDefault="0068434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2" w:rsidRDefault="006843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42" w:rsidRDefault="00684342" w:rsidP="00C20FDA">
      <w:pPr>
        <w:spacing w:after="0" w:line="240" w:lineRule="auto"/>
      </w:pPr>
      <w:r>
        <w:separator/>
      </w:r>
    </w:p>
  </w:footnote>
  <w:footnote w:type="continuationSeparator" w:id="0">
    <w:p w:rsidR="00684342" w:rsidRDefault="0068434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2" w:rsidRPr="004638D0" w:rsidRDefault="0068434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2" w:rsidRPr="001B0E87" w:rsidRDefault="0068434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2" w:rsidRPr="009C17C6" w:rsidRDefault="0068434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84342" w:rsidRDefault="0068434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D1CCE"/>
    <w:rsid w:val="000D2139"/>
    <w:rsid w:val="000D5E07"/>
    <w:rsid w:val="000E10FD"/>
    <w:rsid w:val="000E4007"/>
    <w:rsid w:val="000E505D"/>
    <w:rsid w:val="000F5CA6"/>
    <w:rsid w:val="000F6510"/>
    <w:rsid w:val="00112CFF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5E03"/>
    <w:rsid w:val="001D2EED"/>
    <w:rsid w:val="001D40D2"/>
    <w:rsid w:val="001E49CE"/>
    <w:rsid w:val="00211320"/>
    <w:rsid w:val="002118E6"/>
    <w:rsid w:val="00217E7D"/>
    <w:rsid w:val="00217FA0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7A19"/>
    <w:rsid w:val="002F175C"/>
    <w:rsid w:val="00301628"/>
    <w:rsid w:val="00316BB2"/>
    <w:rsid w:val="00316FFB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7B50"/>
    <w:rsid w:val="00571C28"/>
    <w:rsid w:val="005843B7"/>
    <w:rsid w:val="005875B6"/>
    <w:rsid w:val="005B3D77"/>
    <w:rsid w:val="005B449A"/>
    <w:rsid w:val="005E0518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56045"/>
    <w:rsid w:val="0066264D"/>
    <w:rsid w:val="00665F98"/>
    <w:rsid w:val="00674A88"/>
    <w:rsid w:val="00684342"/>
    <w:rsid w:val="00685C01"/>
    <w:rsid w:val="006908EF"/>
    <w:rsid w:val="006A0E94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4137"/>
    <w:rsid w:val="00737D4E"/>
    <w:rsid w:val="00764FA4"/>
    <w:rsid w:val="00770976"/>
    <w:rsid w:val="00771B9E"/>
    <w:rsid w:val="007837A0"/>
    <w:rsid w:val="007875C2"/>
    <w:rsid w:val="007951EB"/>
    <w:rsid w:val="007A4622"/>
    <w:rsid w:val="007A7A17"/>
    <w:rsid w:val="007C0F77"/>
    <w:rsid w:val="007D2A35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D63"/>
    <w:rsid w:val="008976B9"/>
    <w:rsid w:val="008A4388"/>
    <w:rsid w:val="008B338C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A4A4C"/>
    <w:rsid w:val="00AB222F"/>
    <w:rsid w:val="00AB371B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A2FE6"/>
    <w:rsid w:val="00BA5543"/>
    <w:rsid w:val="00BC2A10"/>
    <w:rsid w:val="00BC5A4D"/>
    <w:rsid w:val="00BC7CA5"/>
    <w:rsid w:val="00BE1663"/>
    <w:rsid w:val="00BE2C7B"/>
    <w:rsid w:val="00BE33BC"/>
    <w:rsid w:val="00BE347E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273F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35FB2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6341</TotalTime>
  <Pages>22</Pages>
  <Words>6559</Words>
  <Characters>37388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106</cp:revision>
  <dcterms:created xsi:type="dcterms:W3CDTF">2020-10-12T06:28:00Z</dcterms:created>
  <dcterms:modified xsi:type="dcterms:W3CDTF">2021-07-26T09:40:00Z</dcterms:modified>
</cp:coreProperties>
</file>