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5DD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B2C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4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B2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27" w:rsidRPr="008B2859" w:rsidRDefault="00804D27" w:rsidP="00804D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1</w:t>
      </w:r>
      <w:r w:rsidRPr="008B2859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8B2859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Тульская область, г. Узловая, ул. Генерала Васильева, дом, 13: 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7"/>
        <w:gridCol w:w="6988"/>
        <w:gridCol w:w="1271"/>
        <w:gridCol w:w="137"/>
        <w:gridCol w:w="1554"/>
      </w:tblGrid>
      <w:tr w:rsidR="00804D27" w:rsidRPr="008B2859" w:rsidTr="001E6DCA">
        <w:trPr>
          <w:trHeight w:val="8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04D27" w:rsidRPr="008B2859" w:rsidTr="001E6DCA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04D27" w:rsidRPr="008B2859" w:rsidTr="001E6DCA">
        <w:trPr>
          <w:trHeight w:val="4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(контора строительно-монтажного поезда)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.А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71:31:010402:0007:70:428:001:003046170:0100:20000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1506,50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354677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(материальный склад)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Д1,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530,70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354675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(растворный узел)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И1, И2, кадастровый (или условный номер) 71:31:010402:0007:70:428:001:003046170:0900:20000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173,3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354683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здание (ремонтно-механический цех) лит. Д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,Д3,Д4,Д5,Д6,Д7,Д8,Д9,Д10,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1104,3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354674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(склад горюче-смазочных материалов)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71:31:010402:0007:70:428:001:003046170:0800:20000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601,50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354679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(столярно-комплектовочный цех)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Ж1,Ж2, кадастровый (или условный номер) 71:31:010402:0007:70:428:001:003046170:0700:20000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920,1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354681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здание (цех малого периодического ремонта) 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.Е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,Е1,е, кадастровый (или условный номер) 71:31:010402:0007:70:428:001:003046170:0600:20000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596,0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354682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(забор железобетонный)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лит.I,II,III,IV,V,VI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71:31:010402:0007:70:428:001:003046170:7001:20000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662,13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354680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(сеть водопроводная в комплексе трубы чугунные)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лит.VII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71:31:010402:0007:70:428:001:003046170:7007:20000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354684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(склад для цемента (металлические емкости) лит.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,Г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1,Г3,Г4,Г5,Г6, кадастровый (или условный номер) 71:31:010402:0007:70:428:001:003046170:0400:20000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59,80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354676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(путь подъездной железнодорожный широкой колеи)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лит.VIII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71:31:010402:0007:70:428:001:003046170:7008:20000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340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354678 от 06.09.2007</w:t>
            </w:r>
          </w:p>
        </w:tc>
      </w:tr>
      <w:tr w:rsidR="00804D27" w:rsidRPr="008B2859" w:rsidTr="001E6DCA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Земельный участок для фактически 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выстроенного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стройдвора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категория земель: земли населенных пунктов, кадастровый (или условный номер) 71:31:01 04 02:7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33819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71-АГ 119167 от 30.04.2010</w:t>
            </w:r>
          </w:p>
        </w:tc>
      </w:tr>
      <w:tr w:rsidR="00804D27" w:rsidRPr="008B2859" w:rsidTr="001E6DCA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04D27" w:rsidRPr="008B2859" w:rsidTr="001E6DCA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04D27" w:rsidRPr="008B2859" w:rsidTr="001E6DCA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D27" w:rsidRPr="008B2859" w:rsidRDefault="00804D27" w:rsidP="001E6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Кран-балка</w:t>
            </w:r>
          </w:p>
        </w:tc>
      </w:tr>
      <w:tr w:rsidR="00804D27" w:rsidRPr="008B2859" w:rsidTr="001E6DCA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804D27" w:rsidRPr="008B2859" w:rsidTr="001E6DCA">
        <w:trPr>
          <w:trHeight w:val="7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  <w:tr w:rsidR="00804D27" w:rsidRPr="008B2859" w:rsidTr="001E6DCA">
        <w:trPr>
          <w:trHeight w:val="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Здание КПП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804D27" w:rsidRPr="008B2859" w:rsidTr="001E6DCA">
        <w:trPr>
          <w:trHeight w:val="2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зданию растворного узла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</w:tr>
      <w:tr w:rsidR="00804D27" w:rsidRPr="008B2859" w:rsidTr="001E6DCA">
        <w:trPr>
          <w:trHeight w:val="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804D27" w:rsidRPr="008B2859" w:rsidTr="001E6DCA">
        <w:trPr>
          <w:trHeight w:val="2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Склад газовых баллонов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1E6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804D27" w:rsidRPr="008B2859" w:rsidRDefault="00804D27" w:rsidP="0080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04D27" w:rsidRPr="008B2859" w:rsidRDefault="00804D27" w:rsidP="00804D2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04D27" w:rsidRPr="008B2859" w:rsidRDefault="00804D27" w:rsidP="00804D27">
      <w:pPr>
        <w:spacing w:after="0" w:line="36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Имущественный комплекс расположен на земельном участке площадью 33 819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8B285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B2859">
        <w:rPr>
          <w:rFonts w:ascii="Times New Roman" w:hAnsi="Times New Roman"/>
          <w:sz w:val="28"/>
          <w:szCs w:val="28"/>
        </w:rPr>
        <w:t xml:space="preserve">». Кадастровый номер: 71:31:010402:7. Категория земель: земли населенных пунктов. Разрешенное использование: для </w:t>
      </w:r>
      <w:r w:rsidRPr="008B2859">
        <w:rPr>
          <w:rFonts w:ascii="Times New Roman" w:eastAsia="Calibri" w:hAnsi="Times New Roman"/>
          <w:color w:val="000000"/>
          <w:sz w:val="28"/>
          <w:szCs w:val="28"/>
        </w:rPr>
        <w:t xml:space="preserve">фактически </w:t>
      </w:r>
      <w:proofErr w:type="gramStart"/>
      <w:r w:rsidRPr="008B2859">
        <w:rPr>
          <w:rFonts w:ascii="Times New Roman" w:eastAsia="Calibri" w:hAnsi="Times New Roman"/>
          <w:color w:val="000000"/>
          <w:sz w:val="28"/>
          <w:szCs w:val="28"/>
        </w:rPr>
        <w:t>выстроенного</w:t>
      </w:r>
      <w:proofErr w:type="gramEnd"/>
      <w:r w:rsidRPr="008B285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8B2859">
        <w:rPr>
          <w:rFonts w:ascii="Times New Roman" w:eastAsia="Calibri" w:hAnsi="Times New Roman"/>
          <w:color w:val="000000"/>
          <w:sz w:val="28"/>
          <w:szCs w:val="28"/>
        </w:rPr>
        <w:t>стройдвора</w:t>
      </w:r>
      <w:proofErr w:type="spellEnd"/>
      <w:r w:rsidRPr="008B285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</w:t>
      </w:r>
      <w:r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EB8">
        <w:rPr>
          <w:rFonts w:ascii="Times New Roman" w:hAnsi="Times New Roman"/>
          <w:bCs/>
          <w:sz w:val="28"/>
          <w:szCs w:val="28"/>
        </w:rPr>
        <w:t>с условием о пролонгации договора на неопределенный срок п</w:t>
      </w:r>
      <w:r>
        <w:rPr>
          <w:rFonts w:ascii="Times New Roman" w:hAnsi="Times New Roman"/>
          <w:bCs/>
          <w:sz w:val="28"/>
          <w:szCs w:val="28"/>
        </w:rPr>
        <w:t>ри отсутствии возражений сторон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285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а именно: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- в «Нежилом здании (</w:t>
      </w:r>
      <w:r w:rsidRPr="008B2859">
        <w:rPr>
          <w:rFonts w:ascii="Times New Roman" w:eastAsia="Calibri" w:hAnsi="Times New Roman"/>
          <w:sz w:val="28"/>
          <w:szCs w:val="28"/>
        </w:rPr>
        <w:t>ремонтно-механический цех)»</w:t>
      </w:r>
      <w:r w:rsidRPr="008B2859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345,90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>;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550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и 49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bCs/>
          <w:sz w:val="28"/>
          <w:szCs w:val="28"/>
        </w:rPr>
        <w:t>.</w:t>
      </w:r>
    </w:p>
    <w:p w:rsidR="00804D27" w:rsidRDefault="00804D27" w:rsidP="00804D27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332AB7" w:rsidRPr="0000495F" w:rsidRDefault="00332AB7" w:rsidP="00332AB7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0A0B14">
        <w:rPr>
          <w:b/>
          <w:color w:val="000000"/>
          <w:sz w:val="28"/>
          <w:szCs w:val="28"/>
          <w:u w:val="single"/>
        </w:rPr>
        <w:t>Лот №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0A0B14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. </w:t>
      </w:r>
      <w:r w:rsidRPr="0000495F">
        <w:rPr>
          <w:color w:val="000000"/>
          <w:sz w:val="28"/>
          <w:szCs w:val="28"/>
        </w:rPr>
        <w:t>Объекты недвижимого</w:t>
      </w:r>
      <w:r>
        <w:rPr>
          <w:color w:val="000000"/>
          <w:sz w:val="28"/>
          <w:szCs w:val="28"/>
        </w:rPr>
        <w:t xml:space="preserve"> и</w:t>
      </w:r>
      <w:r w:rsidRPr="0000495F">
        <w:rPr>
          <w:color w:val="000000"/>
          <w:sz w:val="28"/>
          <w:szCs w:val="28"/>
        </w:rPr>
        <w:t xml:space="preserve"> неотъемлемого </w:t>
      </w:r>
      <w:r>
        <w:rPr>
          <w:color w:val="000000"/>
          <w:sz w:val="28"/>
          <w:szCs w:val="28"/>
        </w:rPr>
        <w:t xml:space="preserve">движимого </w:t>
      </w:r>
      <w:r w:rsidRPr="0000495F">
        <w:rPr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>
        <w:rPr>
          <w:color w:val="000000"/>
          <w:sz w:val="28"/>
          <w:szCs w:val="28"/>
        </w:rPr>
        <w:t xml:space="preserve">Владимир, улица </w:t>
      </w:r>
      <w:proofErr w:type="spellStart"/>
      <w:r>
        <w:rPr>
          <w:color w:val="000000"/>
          <w:sz w:val="28"/>
          <w:szCs w:val="28"/>
        </w:rPr>
        <w:t>Тумская</w:t>
      </w:r>
      <w:proofErr w:type="spellEnd"/>
      <w:r>
        <w:rPr>
          <w:color w:val="000000"/>
          <w:sz w:val="28"/>
          <w:szCs w:val="28"/>
        </w:rPr>
        <w:t>, д. 9-б.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6909"/>
        <w:gridCol w:w="1512"/>
        <w:gridCol w:w="1602"/>
      </w:tblGrid>
      <w:tr w:rsidR="00332AB7" w:rsidRPr="00CE7AAA" w:rsidTr="001E6DCA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332AB7" w:rsidRPr="00CE7AAA" w:rsidTr="001E6DCA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B7" w:rsidRPr="00CE7AAA" w:rsidTr="001E6DC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332AB7" w:rsidRPr="00CE7AAA" w:rsidTr="001E6DC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5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41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5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1E6DC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332AB7" w:rsidRPr="00CE7AAA" w:rsidTr="001E6DCA">
        <w:trPr>
          <w:trHeight w:val="63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32AB7" w:rsidRPr="00CE7AAA" w:rsidTr="001E6DC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332AB7" w:rsidRPr="00CE7AAA" w:rsidTr="001E6DC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332AB7" w:rsidRPr="00CE7AAA" w:rsidTr="001E6DC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332AB7" w:rsidRPr="00CE7AAA" w:rsidTr="001E6DC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332AB7" w:rsidRPr="00CE7AAA" w:rsidTr="001E6DC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AB7" w:rsidRPr="00CE7AAA" w:rsidTr="001E6DC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AB7" w:rsidRPr="00F45092" w:rsidTr="001E6DC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332AB7" w:rsidRPr="00CE7AAA" w:rsidTr="001E6DCA">
        <w:trPr>
          <w:trHeight w:val="3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B7" w:rsidRPr="0007430B" w:rsidRDefault="00332AB7" w:rsidP="001E6D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32AB7" w:rsidRPr="00CE7AAA" w:rsidTr="001E6DCA">
        <w:trPr>
          <w:trHeight w:val="3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332AB7" w:rsidRPr="00CE7AAA" w:rsidTr="001E6DCA">
        <w:trPr>
          <w:trHeight w:val="3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332AB7" w:rsidRPr="00CE7AAA" w:rsidTr="001E6DCA">
        <w:trPr>
          <w:trHeight w:val="47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B7" w:rsidRPr="00763186" w:rsidRDefault="00332AB7" w:rsidP="001E6D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332AB7" w:rsidRDefault="00332AB7" w:rsidP="00332AB7"/>
    <w:p w:rsidR="00332AB7" w:rsidRPr="009416A0" w:rsidRDefault="00332AB7" w:rsidP="00332AB7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B7" w:rsidRPr="009416A0" w:rsidRDefault="00332AB7" w:rsidP="00332AB7">
      <w:pPr>
        <w:spacing w:after="0" w:line="24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 xml:space="preserve">45 от 06.12.2003г).  Категория земель: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>земли населенных пунктов. Разрешенное использование: для размещения и эксплуатации объектов недвижимого имущества.</w:t>
      </w:r>
    </w:p>
    <w:p w:rsidR="00332AB7" w:rsidRPr="009416A0" w:rsidRDefault="00332AB7" w:rsidP="00332AB7">
      <w:pPr>
        <w:spacing w:after="0" w:line="24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32AB7" w:rsidRPr="00441EC1" w:rsidRDefault="00332AB7" w:rsidP="00332AB7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B024D" w:rsidRDefault="00DB024D" w:rsidP="00DB024D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bookmarkStart w:id="0" w:name="_GoBack"/>
      <w:bookmarkEnd w:id="0"/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A42DB3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A42DB3">
        <w:rPr>
          <w:rFonts w:ascii="Times New Roman" w:hAnsi="Times New Roman" w:cs="Times New Roman"/>
          <w:b/>
          <w:sz w:val="28"/>
          <w:szCs w:val="28"/>
        </w:rPr>
        <w:t>«2</w:t>
      </w:r>
      <w:r w:rsidR="005B2C8D">
        <w:rPr>
          <w:rFonts w:ascii="Times New Roman" w:hAnsi="Times New Roman" w:cs="Times New Roman"/>
          <w:b/>
          <w:sz w:val="28"/>
          <w:szCs w:val="28"/>
        </w:rPr>
        <w:t>8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2C8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A42DB3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2739CD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8B0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E77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774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одобрение крупной сделки уполномоченным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подачи Заявок Претенденты не имеют возможности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допущенные к рассмотрению предложения о цене приобретения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1" w:rsidRDefault="00873B41">
      <w:pPr>
        <w:spacing w:after="0" w:line="240" w:lineRule="auto"/>
      </w:pPr>
      <w:r>
        <w:separator/>
      </w:r>
    </w:p>
  </w:endnote>
  <w:endnote w:type="continuationSeparator" w:id="0">
    <w:p w:rsidR="00873B41" w:rsidRDefault="008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1" w:rsidRDefault="00873B41">
      <w:pPr>
        <w:spacing w:after="0" w:line="240" w:lineRule="auto"/>
      </w:pPr>
      <w:r>
        <w:separator/>
      </w:r>
    </w:p>
  </w:footnote>
  <w:footnote w:type="continuationSeparator" w:id="0">
    <w:p w:rsidR="00873B41" w:rsidRDefault="008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4638D0" w:rsidRDefault="00545DD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739CD"/>
    <w:rsid w:val="0032745A"/>
    <w:rsid w:val="00332AB7"/>
    <w:rsid w:val="00385D5A"/>
    <w:rsid w:val="003D710D"/>
    <w:rsid w:val="0040677C"/>
    <w:rsid w:val="00497437"/>
    <w:rsid w:val="004A5C1C"/>
    <w:rsid w:val="004E48C4"/>
    <w:rsid w:val="00543BE2"/>
    <w:rsid w:val="005458A4"/>
    <w:rsid w:val="00545DDC"/>
    <w:rsid w:val="00564521"/>
    <w:rsid w:val="005874DE"/>
    <w:rsid w:val="00593F78"/>
    <w:rsid w:val="005A53AA"/>
    <w:rsid w:val="005B2C8D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04D27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74DD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FFA7-1C92-4091-A44A-D519EB8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22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34</cp:revision>
  <dcterms:created xsi:type="dcterms:W3CDTF">2021-04-23T11:04:00Z</dcterms:created>
  <dcterms:modified xsi:type="dcterms:W3CDTF">2021-09-03T09:15:00Z</dcterms:modified>
</cp:coreProperties>
</file>